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a solo designer owns the perspective/gravity/possession puzzle design across the ≥5 stages and the block-interaction matrix; a single artist owns the environment/character art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Art-load flag:</w:t>
      </w:r>
      <w:r>
        <w:t xml:space="preserve"> </w:t>
      </w:r>
      <w:r>
        <w:t xml:space="preserve">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</w:t>
      </w:r>
      <w:r>
        <w:t xml:space="preserve"> </w:t>
      </w:r>
      <w:r>
        <w:rPr>
          <w:b/>
        </w:rPr>
        <w:t xml:space="preserve">doubles</w:t>
      </w:r>
      <w:r>
        <w:t xml:space="preserve"> </w:t>
      </w:r>
      <w:r>
        <w:t xml:space="preserve">— a single artist is a real load risk. Scope the art hard (a tight tileset + minimal enemy/character set, both projections but few variants), or add a 2nd artist within D+A ≤ 3 if stage/asset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(dual-projection load — scope hard)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2026-09-22T13:16:13Z</dcterms:created>
  <dcterms:modified xsi:type="dcterms:W3CDTF">2026-09-22T13:16:13Z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