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---team33"/>
      <w:r>
        <w:t xml:space="preserve">OctoNav - Team33</w:t>
      </w:r>
      <w:bookmarkEnd w:id="20"/>
    </w:p>
    <w:p>
      <w:pPr>
        <w:pStyle w:val="Heading2"/>
      </w:pPr>
      <w:bookmarkStart w:id="21" w:name="octonav---team33-student-proposal"/>
      <w:r>
        <w:t xml:space="preserve">OctoNav - Team33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the</w:t>
      </w:r>
      <w:r>
        <w:t xml:space="preserve"> </w:t>
      </w:r>
      <w:r>
        <w:rPr>
          <w:b/>
        </w:rPr>
        <w:t xml:space="preserve">wayfinding UX is the dominant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even though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 </w:t>
      </w:r>
      <w:r>
        <w:t xml:space="preserve">(which shrinks the art surface), there is still a real art payload — the 2.5D/3D visual style, materials/lighting, wayfinding iconography, route/marker/obstruction VFX and UI art — so</w:t>
      </w:r>
      <w:r>
        <w:t xml:space="preserve"> </w:t>
      </w:r>
      <w:r>
        <w:rPr>
          <w:b/>
        </w:rPr>
        <w:t xml:space="preserve">0 artists is a risk</w:t>
      </w:r>
      <w:r>
        <w:t xml:space="preserve">; with no artist, that surface is owned by the designers through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Proof of Concept M1 / Art Implementation Quality M2, the last Design goal each milestone), and art must be scoped hard (a clean visual style + a tight icon/UI set, placeholder-free but minimal) or the team should add an artist within D+A ≤ 3.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(conditional — 0-artist team, Design-owned): the visual direction — 2.5D/3D campus style, materials/lighting, wayfinding iconography, route/marker/obstruction VFX and UI art; 2 mockup screens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(conditional — 0-artist team, Design-owned): all in-app art implemented in-engine, no placeholders — the campus style/materials/lighting per floor, wayfinding iconography, route/marker/obstruction VFX and UI art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rPr>
          <w:i/>
        </w:rPr>
        <w:t xml:space="preserve">no artist on this team (0 Art).</w:t>
      </w:r>
      <w:r>
        <w:t xml:space="preserve"> </w:t>
      </w:r>
      <w:r>
        <w:t xml:space="preserve">The art surface (2.5D/3D campus style, materials/lighting, wayfinding iconography, route/marker/obstruction VFX and UI art) is owned by the designers through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M1D11 Art Proof of Concept</w:t>
      </w:r>
      <w:r>
        <w:t xml:space="preserve"> </w:t>
      </w:r>
      <w:r>
        <w:t xml:space="preserve">(visual direction + 2 mockups) and</w:t>
      </w:r>
      <w:r>
        <w:t xml:space="preserve"> </w:t>
      </w:r>
      <w:r>
        <w:rPr>
          <w:b/>
        </w:rPr>
        <w:t xml:space="preserve">M2D11 Art Implementation Quality</w:t>
      </w:r>
      <w:r>
        <w:t xml:space="preserve"> </w:t>
      </w:r>
      <w:r>
        <w:t xml:space="preserve">(all art in-engine, no placeholders), shown above as the last Design goal each milestone. Because the campus geometry is LiDAR-captured, the payload is style + iconography + UI rather than hand-modelled assets. Scope art hard, or add an artist within D+A ≤ 3.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2026-09-22T13:16:28Z</dcterms:created>
  <dcterms:modified xsi:type="dcterms:W3CDTF">2026-09-22T13:16:28Z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