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"/>
      <w:r>
        <w:t xml:space="preserve">Unwoven Harmony</w:t>
      </w:r>
      <w:bookmarkEnd w:id="20"/>
    </w:p>
    <w:p>
      <w:pPr>
        <w:pStyle w:val="Heading2"/>
      </w:pPr>
      <w:bookmarkStart w:id="21" w:name="unwoven-harmony-student-proposal"/>
      <w:r>
        <w:t xml:space="preserve">Unwoven Harmony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Chinese-mythology setting, per-element spell VFX, the enemy/boss roster and the cosmetics are a large, VFX-forward art surface, so two artists carry it;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moveset/rhythm/economy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(mythology setting + per-element VFX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stage settings + the per-element spell-effect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(Qi/combo/timer HUD, element-select, shop)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mythology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(on-beat vs off-beat, Qi-full, finishing-move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mythology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2026-09-21T17:42:11Z</dcterms:created>
  <dcterms:modified xsi:type="dcterms:W3CDTF">2026-09-21T17:42:11Z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