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---team22"/>
      <w:r>
        <w:t xml:space="preserve">Dash Party - Team22</w:t>
      </w:r>
      <w:bookmarkEnd w:id="20"/>
    </w:p>
    <w:p>
      <w:pPr>
        <w:pStyle w:val="Heading2"/>
      </w:pPr>
      <w:bookmarkStart w:id="21" w:name="dash-party---team22-student-proposal"/>
      <w:r>
        <w:t xml:space="preserve">Dash Party - Team22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design surface is unusually large for a party title (4 distinct game modes each with its own ruleset and courses, 4 controller layouts, the two-players-one-car mechanic, and the skin/currency economy), so two designers split the mode/level/systems design and the UI/UX across the shared-screen HUD and the phone-controller pages; a single artist can carry a cohesive retro-arcade pixel style (3 car types + their skins as palette/variant sets, four modest course/obstacle sets, and the arcade UI) — small, palette-driven sprites keep the volume tractable for 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four modes' art volume outgrows one artist, trade the stretch scope, not the headcount.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1"/>
          <w:numId w:val="1020"/>
        </w:numPr>
        <w:pStyle w:val="Compact"/>
      </w:pPr>
      <w:r>
        <w:t xml:space="preserve">M1U5 Mobile UX Adaptation &amp; Ergonomics — the gyroscope controller designed for thumbs and quick party sessions on the reference device.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countdown, position/lap changes and the podium/results sequence animated in the arcade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(cohesive retro pixel style keeps volume tractable)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retro-arcade visual direction — palette, pixel scale, the party-racer tone)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car types as the "cast" + the 3-skins-each 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four modes' courses, obstacles and props)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(cars, skins, courses and HUD implemented and consistent in the showcase build)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(animated crowds, hazards and parallax that make the tracks read as arcade)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(drift smoke, boost, crashes, pickups and the mode/podium transitions — the arcade juice)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2026-09-22T10:49:29Z</dcterms:created>
  <dcterms:modified xsi:type="dcterms:W3CDTF">2026-09-22T10:49:29Z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