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---team19"/>
      <w:r>
        <w:t xml:space="preserve">RBR - Room Bot Rumble - Team19</w:t>
      </w:r>
      <w:bookmarkEnd w:id="20"/>
    </w:p>
    <w:p>
      <w:pPr>
        <w:pStyle w:val="Heading2"/>
      </w:pPr>
      <w:bookmarkStart w:id="21" w:name="X34a1ccf6a6119c4d253abb775a64caa27978ffe"/>
      <w:r>
        <w:t xml:space="preserve">RBR - Room Bot Rumble - Team19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 with a large design surface (the stat/point economy, the gadget/weapon behaviours, the FSM behaviour design, the rating/matchmaking and combat balance), and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systems/balance design load is large for one designer, and the modular bot parts + arena + paint-trail/projectile VFX + builder UI are a real art surface,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and/or an artist within the D+A ≤ 3 cap; if the team stays 6 CS + 1 Design + 0 Art, scope the module set hard and lean on a reusable modular style under D11 (a solo designer + 0 artists is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modular bot look (chassis + interchangeable gadgets/weapons), the arena, the projectile/paint-trail VFX and the builder UI; 2 mockups. *(The artist's absence + the drop to one designer squeeze out the M1D3/D5/D6 goals.)*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modular bot parts, the arena, projectiles/paint-trail VFX and the builder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modular bot parts — chassis + interchangeable gadgets/weapons — the arena/world map, the projectile/paint-trail VFX and the builder UI) is covered by the D11 conditionals, taken as Design goals by the single designer (see Design M1/M2). A modular bot-builder is genuinely art-forward, so 0 artists is a serious risk — scope the module set hard and lean on a reusable modular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2026-09-22T12:39:54Z</dcterms:created>
  <dcterms:modified xsi:type="dcterms:W3CDTF">2026-09-22T12:39:54Z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