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---team06"/>
      <w:r>
        <w:t xml:space="preserve">Graveyard Shift - Team06</w:t>
      </w:r>
      <w:bookmarkEnd w:id="20"/>
    </w:p>
    <w:p>
      <w:pPr>
        <w:pStyle w:val="Heading2"/>
      </w:pPr>
      <w:bookmarkStart w:id="21" w:name="X2c4c77d6a1f790b7c75bc64ccbd7a238c175f90"/>
      <w:r>
        <w:t xml:space="preserve">Graveyard Shift - Team06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 with a large design surface (the seating/mood/agitation/riot rules, the ingredient economy, the day-cycle riot-risk curve, personality tuning, and the reworked monetization), which the two designers own; with</w:t>
      </w:r>
      <w:r>
        <w:t xml:space="preserve"> </w:t>
      </w:r>
      <w:r>
        <w:rPr>
          <w:b/>
        </w:rPr>
        <w:t xml:space="preserve">no artist</w:t>
      </w:r>
      <w:r>
        <w:t xml:space="preserve">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spooky-comedy game is art-forward (the ghost/zombie/ghoul roster + personality tells, the restaurant, dishes, projectiles/remains and riot VFX), so 0 artists is a real risk here — scope the roster small and lean on a strong stylised/reusable direction under D11, or reconsider adding an artist within the D+A ≤ 3 cap by trading a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spooky-comedy visual direction: the ghost/zombie/ghoul faction identities + personality tells, and the restaurant, dishes/projectiles and riot-VFX look;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roster + personality tells, restaurant, dishes/projectiles and riot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ghost/zombie/ghoul roster + personality tells, the restaurant, dishes/projectiles and riot VFX) is covered by the D11 conditionals, taken as Design goals by the two designers (see Design M1/M2). Given how art-forward the concept is, scope the roster small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2026-09-22T13:07:23Z</dcterms:created>
  <dcterms:modified xsi:type="dcterms:W3CDTF">2026-09-22T13:07:23Z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