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. With a solo designer who also carries the D11 art conditional, this rework is</w:t>
      </w:r>
      <w:r>
        <w:t xml:space="preserve"> </w:t>
      </w:r>
      <w:r>
        <w:rPr>
          <w:b/>
        </w:rPr>
        <w:t xml:space="preserve">folded into M2D1</w:t>
      </w:r>
      <w:r>
        <w:t xml:space="preserve"> </w:t>
      </w:r>
      <w:r>
        <w:t xml:space="preserve">(rather than a separate D8) — see the M2 Design goal below.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(7) —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 </w:t>
      </w:r>
      <w:r>
        <w:t xml:space="preserve">— the rider + jet-ski, the many trick animations, the water/spray/splash/spark effects, the escalating environments, the HUD and the gacha cosmetics — so</w:t>
      </w:r>
      <w:r>
        <w:t xml:space="preserve"> </w:t>
      </w:r>
      <w:r>
        <w:rPr>
          <w:b/>
        </w:rPr>
        <w:t xml:space="preserve">0 artists is a serious risk</w:t>
      </w:r>
      <w:r>
        <w:t xml:space="preserve">; the designer absorbs all art via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tight trick-animation set, minimal environments, placeholder-free but small) or the team should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rider + jet-ski, trick animations, water/spray/splash/spark VFX, escalating environments, HUD and cosmetics;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also folds in the required clean-monetization rework of the gacha</w:t>
      </w:r>
      <w:r>
        <w:t xml:space="preserve"> </w:t>
      </w:r>
      <w:r>
        <w:t xml:space="preserve">(cosmetic-only, transparent odds, no pay-to-win, no manipulative loops) + a scope-integrity statement (previously D8, absorbed here since the solo designer also carries D11)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in-game art implemented in-engine, no placeholders — rider + jet-ski, trick animations, water/spray/splash/spark VFX, escalating environments, HUD and cosmetics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trick-animation + water/particle-VFX surface (rider + jet-ski, trick animations, water/spray/splash/spark effects, escalating environments, HUD and gacha cosmetics)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2026-09-22T13:07:31Z</dcterms:created>
  <dcterms:modified xsi:type="dcterms:W3CDTF">2026-09-22T13:07:31Z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