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---team13"/>
      <w:r>
        <w:t xml:space="preserve">Pawgress - Team13</w:t>
      </w:r>
      <w:bookmarkEnd w:id="20"/>
    </w:p>
    <w:p>
      <w:pPr>
        <w:pStyle w:val="Heading2"/>
      </w:pPr>
      <w:bookmarkStart w:id="21" w:name="pawgress---team13-student-proposal"/>
      <w:r>
        <w:t xml:space="preserve">Pawgress - Team13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Pawgress lives on</w:t>
      </w:r>
      <w:r>
        <w:t xml:space="preserve"> </w:t>
      </w:r>
      <w:r>
        <w:rPr>
          <w:b/>
        </w:rPr>
        <w:t xml:space="preserve">charm</w:t>
      </w:r>
      <w:r>
        <w:t xml:space="preserve"> </w:t>
      </w:r>
      <w:r>
        <w:t xml:space="preserve">(the pet — growth stages, moods, expression, a customisation-item catalogue — plus the Singapore map/landmarks and the reward art), which is a large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progression/reward economy and the exploration/retention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pet-charm app is very art-forward (pet states + customisation + map/landmarks + rewards), so 0 artists is a serious risk — scope the pet/customisation set hard and lean on a reusable cosy style under D11, or reconsider adding an artist within the D+A ≤ 3 cap (a solo designer + 0 artists is the case the design pool flags, and squeezes the designer's retention/balance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cosy visual direction: the pet (growth stages, moods, customisation-item look), the Singapore map/landmarks and the reward art; 2 mockups. *(Replaces the M1D9 retention-design slot the artist's absence consumes.)*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pet (states/customisation), the map/landmarks, the rewards and the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pet across growth stages + customisation, the Singapore map/landmarks, and the reward art) is covered by the D11 conditionals, taken as Design goals by the single designer (see Design M1/M2). A pet-charm app is very art-forward, so 0 artists is a serious risk — scope the pet/customisation set hard and lean on a reusable cosy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2026-09-22T11:13:12Z</dcterms:created>
  <dcterms:modified xsi:type="dcterms:W3CDTF">2026-09-22T11:13:12Z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