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---team18"/>
      <w:r>
        <w:t xml:space="preserve">Greenhouse - Team18</w:t>
      </w:r>
      <w:bookmarkEnd w:id="20"/>
    </w:p>
    <w:p>
      <w:pPr>
        <w:pStyle w:val="Heading2"/>
      </w:pPr>
      <w:bookmarkStart w:id="21" w:name="greenhouse---team18-student-proposal"/>
      <w:r>
        <w:t xml:space="preserve">Greenhouse - Team18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the authoring surface (scrapbook canvas, on-device handwriting, themes/customization) plus the garden-progression UX is a strong design load, and there is a real authored-art surface (plant art direction/style, themes/backgrounds, the sticker set, the character/profile, the cell-shaded look) — which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authoring/garden UX design load is large for one designer, and a creative journaling app is genuinely art-forward (plant art + themes + sticker set + character + cell-shaded look),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and/or an artist within the D+A ≤ 3 cap; if the team stays 6 CS + 1 Design + 0 Art, scope the plant/theme/sticker set hard and lean on a reusable style under D11 (a solo designer + 0 artists is the case the design pool flags, and squeezes the designer's interaction/theme/branding goals).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Design-owned)* — the visual direction: the plant art/style, the themes/backgrounds, the sticker set, the character/profile and the cell-shaded look; 2 mockups. *(The artist's absence + the drop to one designer squeeze out the M1D3/D5/D8 goals.)*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plant art, themes/backgrounds, sticker set, character/profile and UI implemented in-engine, no placeholders.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authored-art surface (the plant art/style, the themes/backgrounds, the sticker set, the character/profile and the cell-shaded look) is covered by the D11 conditionals, taken as Design goals by the single designer (see Design M1/M2). A creative journaling app is genuinely art-forward, so 0 artists is a serious risk — scope the plant/theme/sticker set hard and lean on a reusable style.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2026-09-22T13:25:57Z</dcterms:created>
  <dcterms:modified xsi:type="dcterms:W3CDTF">2026-09-22T13:25:57Z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