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 with a large design surface (the seating/mood/agitation/riot rules, the ingredient economy, the day-cycle riot-risk curve, personality tuning, and the reworked monetization), which the two designers own; with</w:t>
      </w:r>
      <w:r>
        <w:t xml:space="preserve"> </w:t>
      </w:r>
      <w:r>
        <w:rPr>
          <w:b/>
        </w:rPr>
        <w:t xml:space="preserve">no artist</w:t>
      </w:r>
      <w:r>
        <w:t xml:space="preserve">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spooky-comedy game is art-forward (the ghost/zombie/ghoul roster + personality tells, the restaurant, dishes, projectiles/remains and riot VFX), so 0 artists is a real risk here — scope the roster small and lean on a strong stylised/reusable direction under D11, or reconsider adding an artist within the D+A ≤ 3 cap by trading a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spooky-comedy visual direction: the ghost/zombie/ghoul faction identities + personality tells, and the restaurant, dishes/projectiles and riot-VFX look;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roster + personality tells, restaurant, dishes/projectiles and riot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ghost/zombie/ghoul roster + personality tells, the restaurant, dishes/projectiles and riot VFX) is covered by the D11 conditionals, taken as Design goals by the two designers (see Design M1/M2). Given how art-forward the concept is, scope the roster small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2026-09-22T13:26:07Z</dcterms:created>
  <dcterms:modified xsi:type="dcterms:W3CDTF">2026-09-22T13:26:07Z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