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the</w:t>
      </w:r>
      <w:r>
        <w:t xml:space="preserve"> </w:t>
      </w:r>
      <w:r>
        <w:rPr>
          <w:b/>
        </w:rPr>
        <w:t xml:space="preserve">wayfinding UX is the dominant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even though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 </w:t>
      </w:r>
      <w:r>
        <w:t xml:space="preserve">(which shrinks the art surface), there is still a real art payload — the 2.5D/3D visual style, materials/lighting, wayfinding iconography, route/marker/obstruction VFX and UI art — so</w:t>
      </w:r>
      <w:r>
        <w:t xml:space="preserve"> </w:t>
      </w:r>
      <w:r>
        <w:rPr>
          <w:b/>
        </w:rPr>
        <w:t xml:space="preserve">0 artists is a risk</w:t>
      </w:r>
      <w:r>
        <w:t xml:space="preserve">; with no artist, that surface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clean visual style + a tight icon/UI set, placeholder-free but minimal) or the team should add an artist within D+A ≤ 3.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2.5D/3D campus style, materials/lighting, wayfinding iconography, route/marker/obstruction VFX and UI art;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in-app art implemented in-engine, no placeholders — the campus style/materials/lighting per floor, wayfinding iconography, route/marker/obstruction VFX and UI art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art surface (2.5D/3D campus style, materials/lighting, wayfinding iconography, route/marker/obstruction VFX and UI art) is owned by the designers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Because the campus geometry is LiDAR-captured, the payload is style + iconography + UI rather than hand-modelled assets.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2026-09-22T13:26:40Z</dcterms:created>
  <dcterms:modified xsi:type="dcterms:W3CDTF">2026-09-22T13:26:40Z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