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A7484">
      <w:pPr>
        <w:tabs>
          <w:tab w:val="left" w:pos="284"/>
        </w:tabs>
        <w:ind w:right="567"/>
        <w:jc w:val="center"/>
        <w:rPr>
          <w:b/>
          <w:i/>
          <w:sz w:val="32"/>
          <w:szCs w:val="32"/>
        </w:rPr>
      </w:pPr>
      <w:r>
        <w:rPr>
          <w:b/>
          <w:i/>
          <w:sz w:val="32"/>
          <w:szCs w:val="32"/>
        </w:rPr>
        <w:t>Likouteï Si’hot</w:t>
      </w:r>
    </w:p>
    <w:p w:rsidR="00000000" w:rsidRDefault="00EA7484">
      <w:pPr>
        <w:tabs>
          <w:tab w:val="left" w:pos="284"/>
        </w:tabs>
        <w:ind w:right="567"/>
        <w:jc w:val="center"/>
        <w:rPr>
          <w:b/>
          <w:i/>
          <w:sz w:val="28"/>
          <w:szCs w:val="28"/>
        </w:rPr>
      </w:pPr>
    </w:p>
    <w:p w:rsidR="00000000" w:rsidRDefault="00EA7484">
      <w:pPr>
        <w:tabs>
          <w:tab w:val="left" w:pos="284"/>
        </w:tabs>
        <w:ind w:right="567"/>
        <w:jc w:val="center"/>
        <w:rPr>
          <w:b/>
          <w:i/>
          <w:sz w:val="28"/>
          <w:szCs w:val="28"/>
        </w:rPr>
      </w:pPr>
      <w:r>
        <w:rPr>
          <w:b/>
          <w:i/>
          <w:sz w:val="28"/>
          <w:szCs w:val="28"/>
        </w:rPr>
        <w:t>Perspectives ‘hassidiques sur la Sidra de la semaine</w:t>
      </w:r>
    </w:p>
    <w:p w:rsidR="00000000" w:rsidRDefault="00EA7484">
      <w:pPr>
        <w:tabs>
          <w:tab w:val="left" w:pos="284"/>
        </w:tabs>
        <w:ind w:right="567"/>
        <w:jc w:val="center"/>
        <w:rPr>
          <w:b/>
          <w:i/>
          <w:sz w:val="28"/>
          <w:szCs w:val="28"/>
        </w:rPr>
      </w:pPr>
    </w:p>
    <w:p w:rsidR="00000000" w:rsidRDefault="00EA7484">
      <w:pPr>
        <w:tabs>
          <w:tab w:val="left" w:pos="284"/>
        </w:tabs>
        <w:ind w:right="567"/>
        <w:jc w:val="center"/>
        <w:rPr>
          <w:b/>
          <w:i/>
          <w:sz w:val="28"/>
          <w:szCs w:val="28"/>
        </w:rPr>
      </w:pPr>
      <w:r>
        <w:rPr>
          <w:b/>
          <w:i/>
          <w:sz w:val="28"/>
          <w:szCs w:val="28"/>
        </w:rPr>
        <w:t>d’après les causeries du Rabbi de Loubavitch</w:t>
      </w:r>
    </w:p>
    <w:p w:rsidR="00000000" w:rsidRDefault="00EA7484">
      <w:pPr>
        <w:tabs>
          <w:tab w:val="left" w:pos="284"/>
        </w:tabs>
        <w:ind w:right="567"/>
        <w:jc w:val="center"/>
        <w:rPr>
          <w:b/>
          <w:i/>
          <w:sz w:val="28"/>
          <w:szCs w:val="28"/>
        </w:rPr>
      </w:pPr>
    </w:p>
    <w:p w:rsidR="00000000" w:rsidRDefault="00EA7484">
      <w:pPr>
        <w:tabs>
          <w:tab w:val="left" w:pos="284"/>
        </w:tabs>
        <w:ind w:right="567"/>
        <w:jc w:val="center"/>
      </w:pPr>
      <w:r>
        <w:rPr>
          <w:b/>
          <w:i/>
          <w:sz w:val="28"/>
          <w:szCs w:val="28"/>
        </w:rPr>
        <w:t>Tome 2 : Chemot</w:t>
      </w:r>
    </w:p>
    <w:p w:rsidR="00000000" w:rsidRDefault="00EA7484">
      <w:pPr>
        <w:tabs>
          <w:tab w:val="left" w:pos="284"/>
        </w:tabs>
        <w:ind w:right="567"/>
        <w:jc w:val="both"/>
      </w:pPr>
    </w:p>
    <w:p w:rsidR="00000000" w:rsidRDefault="00EA7484">
      <w:pPr>
        <w:tabs>
          <w:tab w:val="left" w:pos="284"/>
        </w:tabs>
        <w:ind w:right="567"/>
        <w:jc w:val="center"/>
        <w:rPr>
          <w:b/>
          <w:i/>
          <w:sz w:val="22"/>
          <w:szCs w:val="22"/>
        </w:rPr>
      </w:pPr>
      <w:r>
        <w:rPr>
          <w:b/>
          <w:i/>
          <w:sz w:val="22"/>
          <w:szCs w:val="22"/>
        </w:rPr>
        <w:t>Avant Propos</w:t>
      </w:r>
    </w:p>
    <w:p w:rsidR="00000000" w:rsidRDefault="00EA7484">
      <w:pPr>
        <w:tabs>
          <w:tab w:val="left" w:pos="284"/>
        </w:tabs>
        <w:ind w:right="567"/>
        <w:jc w:val="both"/>
      </w:pPr>
    </w:p>
    <w:p w:rsidR="00000000" w:rsidRDefault="00EA7484">
      <w:pPr>
        <w:tabs>
          <w:tab w:val="left" w:pos="284"/>
        </w:tabs>
        <w:ind w:right="567"/>
        <w:jc w:val="both"/>
      </w:pPr>
      <w:r>
        <w:tab/>
        <w:t xml:space="preserve">De nombreux enseignements du Rabbi de Loubavitch, discours ‘hassidiques, explications données à l’occasion d’une intervention publique, causeries, lettres, notes qu’il rédigea pour son usage personnel, ont été présentés, ces dernières années, au public francophone. Le but du présent ouvrage est de lui donner accès au vecteur fondamental de cet enseignement, le </w:t>
      </w:r>
      <w:r>
        <w:t>Likouteï Si’hot.</w:t>
      </w:r>
    </w:p>
    <w:p w:rsidR="00000000" w:rsidRDefault="00EA7484">
      <w:pPr>
        <w:tabs>
          <w:tab w:val="left" w:pos="284"/>
        </w:tabs>
        <w:ind w:right="567"/>
        <w:jc w:val="both"/>
      </w:pPr>
    </w:p>
    <w:p w:rsidR="00000000" w:rsidRDefault="00EA7484">
      <w:pPr>
        <w:tabs>
          <w:tab w:val="left" w:pos="284"/>
        </w:tabs>
        <w:ind w:right="567"/>
        <w:jc w:val="both"/>
      </w:pPr>
      <w:r>
        <w:tab/>
        <w:t>Dès qu’il prit la direction des ‘Hassidim ‘Habad-Loubavitch, le 10 Chevat 5711-1951, le Rabbi commenta publiquement la Torah, à l’occasion du Chabbat, des fêtes ou des grandes célébrations, en présence des ‘Hassidim et de tous les Juifs qui s’étaient réunis pour l’écouter. Au fil de ces interventions, le Rabbi développa une nouvelle approche de la Torah, mêlant son enseignement révélé à sa dimension ésotérique, en appliquant systématiquement les idées à l’action concrète, interprétant les</w:t>
      </w:r>
      <w:r>
        <w:t xml:space="preserve"> événements du monde à la lumière des valeurs traditionnelles.</w:t>
      </w:r>
    </w:p>
    <w:p w:rsidR="00000000" w:rsidRDefault="00EA7484">
      <w:pPr>
        <w:tabs>
          <w:tab w:val="left" w:pos="284"/>
        </w:tabs>
        <w:ind w:right="567"/>
        <w:jc w:val="both"/>
      </w:pPr>
    </w:p>
    <w:p w:rsidR="00000000" w:rsidRDefault="00EA7484">
      <w:pPr>
        <w:tabs>
          <w:tab w:val="left" w:pos="284"/>
        </w:tabs>
        <w:ind w:right="567"/>
        <w:jc w:val="both"/>
      </w:pPr>
      <w:r>
        <w:tab/>
        <w:t>Il fallut alors mettre au point une manière de formaliser cet enseignement, afin de le rendre accessible au plus grand nombre. Les textes de différentes interventions du Rabbi furent donc compilés, synthétisés, commentés et annotés. Ils furent ensuite publiés sous forme de séquences, consacrées aux Sidrot et aux fêtes. C’est ainsi que naquit le Likouteï Si’hot, “ recueil de causeries ”.</w:t>
      </w:r>
    </w:p>
    <w:p w:rsidR="00000000" w:rsidRDefault="00EA7484">
      <w:pPr>
        <w:tabs>
          <w:tab w:val="left" w:pos="284"/>
        </w:tabs>
        <w:ind w:right="567"/>
        <w:jc w:val="both"/>
      </w:pPr>
    </w:p>
    <w:p w:rsidR="00000000" w:rsidRDefault="00EA7484">
      <w:pPr>
        <w:tabs>
          <w:tab w:val="left" w:pos="284"/>
        </w:tabs>
        <w:ind w:right="567"/>
        <w:jc w:val="center"/>
      </w:pPr>
      <w:r>
        <w:t>*   *   *</w:t>
      </w:r>
    </w:p>
    <w:p w:rsidR="00000000" w:rsidRDefault="00EA7484">
      <w:pPr>
        <w:tabs>
          <w:tab w:val="left" w:pos="284"/>
        </w:tabs>
        <w:ind w:right="567"/>
        <w:jc w:val="both"/>
      </w:pPr>
    </w:p>
    <w:p w:rsidR="00000000" w:rsidRDefault="00EA7484">
      <w:pPr>
        <w:tabs>
          <w:tab w:val="left" w:pos="284"/>
        </w:tabs>
        <w:ind w:right="567"/>
        <w:jc w:val="both"/>
      </w:pPr>
      <w:r>
        <w:tab/>
        <w:t>Il est significatif de constater que la prem</w:t>
      </w:r>
      <w:r>
        <w:t>ière partie du Tanya, l’ouvrage constituant la référence de la ‘Hassidout ‘Habad, qui présente les thèmes fondamentaux de sa doctrine, fut appelé par son auteur Likouteï Amarim, “ recueil de propos ”. Par la suite, la compilation des discours de l’Admour Hazaken, qui précisent ces thèmes et en font une analyse approfondie, parut sous le nom de Likouteï Torah, “ recueil d’explications de la Torah ”. Puis, sept générations plus tard, le chef de notre génération, héritier de Rabbi Chnéor Zalman, l’auteur de Li</w:t>
      </w:r>
      <w:r>
        <w:t>kouteï Amarim et de Likouteï Torah, publiait le Likouteï Si’hot, “ recueil de causeries ”.</w:t>
      </w:r>
    </w:p>
    <w:p w:rsidR="00000000" w:rsidRDefault="00EA7484">
      <w:pPr>
        <w:tabs>
          <w:tab w:val="left" w:pos="284"/>
        </w:tabs>
        <w:ind w:right="567"/>
        <w:jc w:val="both"/>
      </w:pPr>
    </w:p>
    <w:p w:rsidR="00000000" w:rsidRDefault="00EA7484">
      <w:pPr>
        <w:tabs>
          <w:tab w:val="left" w:pos="284"/>
        </w:tabs>
        <w:ind w:right="567"/>
        <w:jc w:val="both"/>
      </w:pPr>
      <w:r>
        <w:tab/>
        <w:t>Ainsi, les grands maîtres de la ‘Hassidout offrirent au peuple juif des écrits essentiels, définissant leur vision de la pensée juive et l’exprimant en des termes qui en rendent les notions les plus abstraites accessibles à tous. Malgré cela, ils présentèrent eux-mêmes ces livres comme des recueils, leur immense modestie les conduisant à nier tout apport personnel dans leur gigantesque contribution à la tradition d’</w:t>
      </w:r>
      <w:r>
        <w:t>Israël. Il n’y avait là, selon eux, qu’un “ recueil ” d’explications, déjà développées par ailleurs. Il est clair qu’une telle conception ne correspond pas à la réalité et n’est que la marque d’une immense humilité. Il suffit, pour s’en convaincre, de prendre connaissance des textes que l’on trouvera dans ce livre.</w:t>
      </w:r>
    </w:p>
    <w:p w:rsidR="00000000" w:rsidRDefault="00EA7484">
      <w:pPr>
        <w:tabs>
          <w:tab w:val="left" w:pos="284"/>
        </w:tabs>
        <w:ind w:right="567"/>
        <w:jc w:val="both"/>
      </w:pPr>
    </w:p>
    <w:p w:rsidR="00000000" w:rsidRDefault="00EA7484">
      <w:pPr>
        <w:tabs>
          <w:tab w:val="left" w:pos="284"/>
        </w:tabs>
        <w:ind w:right="567"/>
        <w:jc w:val="both"/>
      </w:pPr>
      <w:r>
        <w:tab/>
        <w:t>Constatant que D.ieu marqua Sa Présence jusque dans les détails les plus insignifiants de la création, nos Sages expliquent que: “ là où s’exprime Sa Simplicité se trouve l’expression de Sa gra</w:t>
      </w:r>
      <w:r>
        <w:t>ndeur véritable ”. Ils soulignent aussi que “ les Justes sont à l’image de leur Créateur ” et, de ce point de vue, le Likouteï Si’hot, témoignage de la modestie du Rabbi de Loubavitch, permet effectivement de percevoir toute la grandeur de son oeuvre.</w:t>
      </w:r>
    </w:p>
    <w:p w:rsidR="00000000" w:rsidRDefault="00EA7484">
      <w:pPr>
        <w:tabs>
          <w:tab w:val="left" w:pos="284"/>
        </w:tabs>
        <w:ind w:right="567"/>
        <w:jc w:val="both"/>
      </w:pPr>
    </w:p>
    <w:p w:rsidR="00000000" w:rsidRDefault="00EA7484">
      <w:pPr>
        <w:tabs>
          <w:tab w:val="left" w:pos="284"/>
        </w:tabs>
        <w:ind w:right="567"/>
        <w:jc w:val="both"/>
      </w:pPr>
      <w:r>
        <w:tab/>
        <w:t>C’est précisément dans le Likouteï Si’hot (tome 6, page 41), que l’on trouve l’affirmation suivante du Rabbi: “ la première partie du Tanya, le Likouteï Amarim, “ recueil de propos ”, s’adresse à tout le peuple juif et lui montre de quelle manière chaque Jui</w:t>
      </w:r>
      <w:r>
        <w:t>f peut servir D.ieu en L’aimant et en Le craignant ”. A notre époque, il est, en outre, possible d’éprouver simplement ces sentiments, qui sont à la base du service de D.ieu. Il suffit, pour cela, de consulter la définition qu’en donne le Rabbi dans le Likouteï Si’hot.</w:t>
      </w:r>
    </w:p>
    <w:p w:rsidR="00000000" w:rsidRDefault="00EA7484">
      <w:pPr>
        <w:tabs>
          <w:tab w:val="left" w:pos="284"/>
        </w:tabs>
        <w:ind w:right="567"/>
        <w:jc w:val="both"/>
      </w:pPr>
    </w:p>
    <w:p w:rsidR="00000000" w:rsidRDefault="00EA7484">
      <w:pPr>
        <w:tabs>
          <w:tab w:val="left" w:pos="284"/>
        </w:tabs>
        <w:ind w:right="567"/>
        <w:jc w:val="center"/>
      </w:pPr>
      <w:r>
        <w:t>*   *   *</w:t>
      </w:r>
    </w:p>
    <w:p w:rsidR="00000000" w:rsidRDefault="00EA7484">
      <w:pPr>
        <w:tabs>
          <w:tab w:val="left" w:pos="284"/>
        </w:tabs>
        <w:ind w:right="567"/>
        <w:jc w:val="both"/>
      </w:pPr>
    </w:p>
    <w:p w:rsidR="00000000" w:rsidRDefault="00EA7484">
      <w:pPr>
        <w:tabs>
          <w:tab w:val="left" w:pos="284"/>
        </w:tabs>
        <w:ind w:right="567"/>
        <w:jc w:val="both"/>
      </w:pPr>
      <w:r>
        <w:tab/>
        <w:t>Le Rabbi édita ainsi trente six volumes de Likouteï Si’hot, qui parurent donc, tout d’abord, sous la forme de petits fascicules hebdomadaires, puis furent reliés dans l’ordre des cinq livres de la Torah. Ces ouvrages constituent,</w:t>
      </w:r>
      <w:r>
        <w:t xml:space="preserve"> à proprement parler, une encyclopédie de la ‘Hassidout et de ses grands thèmes. Les deux premiers volumes, en particulier, présentent des concepts simples, qui les rendent accessibles à tous. Rédigés, à l’origine, en Yiddish, ils ont été traduits en Hébreu, puis en anglais et sont maintenant présentés en français. Ils paraîtront, avec l’aide de D.ieu, en cinq tomes, correspondant aux cinq livres de la Torah. Le présent ouvrage est le second de cette série.</w:t>
      </w:r>
    </w:p>
    <w:p w:rsidR="00000000" w:rsidRDefault="00EA7484">
      <w:pPr>
        <w:tabs>
          <w:tab w:val="left" w:pos="284"/>
        </w:tabs>
        <w:ind w:right="567"/>
        <w:jc w:val="both"/>
      </w:pPr>
    </w:p>
    <w:p w:rsidR="00000000" w:rsidRDefault="00EA7484">
      <w:pPr>
        <w:tabs>
          <w:tab w:val="left" w:pos="284"/>
        </w:tabs>
        <w:ind w:right="567"/>
        <w:jc w:val="both"/>
      </w:pPr>
      <w:r>
        <w:tab/>
        <w:t>Dans ce livre, sont donc présentées les onze Sid</w:t>
      </w:r>
      <w:r>
        <w:t>rot du livre de Chemot. La Hilloula du précédent Rabbi, célébrée le 10 Chevat, y occupe une place toute particulière. Il y est également question de Tou Bichevat, le nouvel an des arbres.</w:t>
      </w:r>
    </w:p>
    <w:p w:rsidR="00000000" w:rsidRDefault="00EA7484">
      <w:pPr>
        <w:tabs>
          <w:tab w:val="left" w:pos="284"/>
        </w:tabs>
        <w:ind w:right="567"/>
        <w:jc w:val="both"/>
      </w:pPr>
    </w:p>
    <w:p w:rsidR="00000000" w:rsidRDefault="00EA7484">
      <w:pPr>
        <w:tabs>
          <w:tab w:val="left" w:pos="284"/>
        </w:tabs>
        <w:ind w:right="567"/>
        <w:jc w:val="both"/>
      </w:pPr>
      <w:r>
        <w:tab/>
        <w:t>Les sujets abordés, à l’occasion de l’étude de ces Sidrot, sont fondamentaux et reprennent de nombreux thèmes centraux du Judaïsme, l’exil d’Egypte et sa signification, la libération de l’Egypte et les plaies qui l’accompagnèrent, le passage de la mer Rouge et sa finalité. On trouvera également, dans ces textes, une anal</w:t>
      </w:r>
      <w:r>
        <w:t>yse ‘hassidique du don de la Torah, puis de la construction du Sanctuaire et de ce qu’elle doit accomplir dans les coeurs juifs, qui sont également des Tabernacles consacrés au service divin.</w:t>
      </w:r>
    </w:p>
    <w:p w:rsidR="00000000" w:rsidRDefault="00EA7484">
      <w:pPr>
        <w:tabs>
          <w:tab w:val="left" w:pos="284"/>
        </w:tabs>
        <w:ind w:right="567"/>
        <w:jc w:val="both"/>
      </w:pPr>
    </w:p>
    <w:p w:rsidR="00000000" w:rsidRDefault="00EA7484">
      <w:pPr>
        <w:tabs>
          <w:tab w:val="left" w:pos="284"/>
        </w:tabs>
        <w:ind w:right="567"/>
        <w:jc w:val="both"/>
      </w:pPr>
      <w:r>
        <w:tab/>
        <w:t>Les causeries prononcées à l’occasion du 10 Chevat sont également très importantes. Elles expliquent de quelle manière se lier au Rabbi, chef de la génération, même au delà de son existence physique, définissent le rôle du Juste et la mission qui lui est confiée, de laquelle chacun peut prendre une part.</w:t>
      </w:r>
    </w:p>
    <w:p w:rsidR="00000000" w:rsidRDefault="00EA7484">
      <w:pPr>
        <w:tabs>
          <w:tab w:val="left" w:pos="284"/>
        </w:tabs>
        <w:ind w:right="567"/>
        <w:jc w:val="both"/>
      </w:pPr>
    </w:p>
    <w:p w:rsidR="00000000" w:rsidRDefault="00EA7484">
      <w:pPr>
        <w:tabs>
          <w:tab w:val="left" w:pos="284"/>
        </w:tabs>
        <w:ind w:right="567"/>
        <w:jc w:val="center"/>
      </w:pPr>
      <w:r>
        <w:t>*   *   *</w:t>
      </w:r>
    </w:p>
    <w:p w:rsidR="00000000" w:rsidRDefault="00EA7484">
      <w:pPr>
        <w:tabs>
          <w:tab w:val="left" w:pos="284"/>
        </w:tabs>
        <w:ind w:right="567"/>
        <w:jc w:val="both"/>
      </w:pPr>
    </w:p>
    <w:p w:rsidR="00000000" w:rsidRDefault="00EA7484">
      <w:pPr>
        <w:tabs>
          <w:tab w:val="left" w:pos="284"/>
        </w:tabs>
        <w:ind w:right="567"/>
        <w:jc w:val="both"/>
      </w:pPr>
      <w:r>
        <w:tab/>
        <w:t>A n’en pas douter, la diffusion de ces grandes idées de la Tradition juive, avec l’éclairage particulier que leur apporte l’enseignement du Rabbi, hâtera la venue du Machia’h.</w:t>
      </w:r>
    </w:p>
    <w:p w:rsidR="00000000" w:rsidRDefault="00EA7484">
      <w:pPr>
        <w:tabs>
          <w:tab w:val="left" w:pos="284"/>
        </w:tabs>
        <w:ind w:right="567"/>
        <w:jc w:val="both"/>
      </w:pPr>
    </w:p>
    <w:p w:rsidR="00000000" w:rsidRDefault="00EA7484">
      <w:pPr>
        <w:tabs>
          <w:tab w:val="left" w:pos="284"/>
        </w:tabs>
        <w:ind w:right="567"/>
        <w:jc w:val="both"/>
      </w:pPr>
      <w:r>
        <w:tab/>
        <w:t>C’est, en effet, le Machia’h lui-même qui affirma au Baal Chem Tov, lorsque celui-ci connut une élévation de l’âme et le rencontra dans les sphères célestes, qu’il se révélerait “ lorsque les sources de ton enseignement se répandront à l’extérieur ”. Puisse D.ieu faire que la publication de ces textes apporte sa contribution à cett</w:t>
      </w:r>
      <w:r>
        <w:t>e diffusion.</w:t>
      </w:r>
    </w:p>
    <w:p w:rsidR="00000000" w:rsidRDefault="00EA7484">
      <w:pPr>
        <w:tabs>
          <w:tab w:val="left" w:pos="284"/>
        </w:tabs>
        <w:ind w:right="567"/>
        <w:jc w:val="both"/>
      </w:pPr>
    </w:p>
    <w:p w:rsidR="00000000" w:rsidRDefault="00EA7484">
      <w:pPr>
        <w:tabs>
          <w:tab w:val="left" w:pos="284"/>
        </w:tabs>
        <w:ind w:right="567"/>
        <w:jc w:val="both"/>
      </w:pPr>
      <w:r>
        <w:tab/>
        <w:t>Très prochainement, la promesse du Machia’h se réalisera, comme le Rabbi nous en a donné l’assurance. Alors, le Rabbi lui-même sera, de nouveau, physiquement à notre tête et il nous délivrera encore son enseignement. Puis, sans l’ombre d’un doute, nous assisterons, après l’avènement de la période messianique, à la parution de nouveaux Likouteï Si’hot.</w:t>
      </w:r>
    </w:p>
    <w:p w:rsidR="00000000" w:rsidRDefault="00EA7484">
      <w:pPr>
        <w:tabs>
          <w:tab w:val="left" w:pos="284"/>
        </w:tabs>
        <w:ind w:right="567"/>
        <w:jc w:val="both"/>
      </w:pPr>
    </w:p>
    <w:p w:rsidR="00000000" w:rsidRDefault="00EA7484">
      <w:pPr>
        <w:tabs>
          <w:tab w:val="left" w:pos="284"/>
        </w:tabs>
        <w:ind w:right="567"/>
        <w:jc w:val="right"/>
      </w:pPr>
      <w:r>
        <w:t>Haïm MELLUL</w:t>
      </w:r>
    </w:p>
    <w:p w:rsidR="00000000" w:rsidRDefault="00EA7484">
      <w:pPr>
        <w:tabs>
          <w:tab w:val="left" w:pos="284"/>
        </w:tabs>
        <w:ind w:right="567"/>
        <w:jc w:val="right"/>
      </w:pPr>
      <w:r>
        <w:t>2 Iyar 5757-1997</w:t>
      </w:r>
    </w:p>
    <w:p w:rsidR="00000000" w:rsidRDefault="00EA7484">
      <w:pPr>
        <w:tabs>
          <w:tab w:val="left" w:pos="284"/>
        </w:tabs>
        <w:ind w:right="567"/>
        <w:jc w:val="right"/>
      </w:pPr>
      <w:r>
        <w:t>“ A priori par dessus l’obstacle ”</w:t>
      </w:r>
    </w:p>
    <w:p w:rsidR="00000000" w:rsidRDefault="00EA7484">
      <w:pPr>
        <w:tabs>
          <w:tab w:val="left" w:pos="284"/>
        </w:tabs>
        <w:ind w:right="567"/>
        <w:jc w:val="right"/>
      </w:pPr>
      <w:r>
        <w:t>“ Cette année sera</w:t>
      </w:r>
    </w:p>
    <w:p w:rsidR="00000000" w:rsidRDefault="00EA7484">
      <w:pPr>
        <w:tabs>
          <w:tab w:val="left" w:pos="284"/>
        </w:tabs>
        <w:ind w:right="567"/>
        <w:jc w:val="right"/>
      </w:pPr>
      <w:r>
        <w:t>celle des merveilles ”</w:t>
      </w:r>
    </w:p>
    <w:p w:rsidR="00000000" w:rsidRDefault="00EA7484">
      <w:pPr>
        <w:tabs>
          <w:tab w:val="left" w:pos="284"/>
        </w:tabs>
        <w:ind w:right="567"/>
        <w:jc w:val="both"/>
      </w:pPr>
    </w:p>
    <w:p w:rsidR="00000000" w:rsidRDefault="00EA7484">
      <w:pPr>
        <w:tabs>
          <w:tab w:val="left" w:pos="284"/>
        </w:tabs>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A7484"/>
    <w:rsid w:val="00EA748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957</Words>
  <Characters>5460</Characters>
  <Application>Microsoft Word 12.1.0</Application>
  <DocSecurity>0</DocSecurity>
  <Lines>45</Lines>
  <Paragraphs>10</Paragraphs>
  <ScaleCrop>false</ScaleCrop>
  <LinksUpToDate>false</LinksUpToDate>
  <CharactersWithSpaces>6705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2008-09-15T15:19:00Z</dcterms:created>
  <dcterms:modified xsi:type="dcterms:W3CDTF">2008-09-15T15:19:00Z</dcterms:modified>
</cp:coreProperties>
</file>