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480" w:lineRule="auto"/>
        <w:jc w:val="center"/>
      </w:pPr>
      <w:r>
        <w:rPr/>
        <w:t xml:space="preserve"/>
      </w:r>
    </w:p>
    <w:p>
      <w:pPr>
        <w:spacing w:before="0" w:after="0" w:line="480" w:lineRule="auto"/>
        <w:jc w:val="center"/>
      </w:pPr>
      <w:r>
        <w:rPr/>
        <w:t xml:space="preserve"/>
      </w:r>
    </w:p>
    <w:p>
      <w:pPr>
        <w:spacing w:before="0" w:after="0" w:line="480" w:lineRule="auto"/>
        <w:jc w:val="center"/>
      </w:pPr>
      <w:r>
        <w:rPr/>
        <w:t xml:space="preserve"/>
      </w:r>
    </w:p>
    <w:p>
      <w:pPr>
        <w:spacing w:before="0" w:after="0" w:line="480" w:lineRule="auto"/>
        <w:jc w:val="center"/>
      </w:pPr>
      <w:r>
        <w:rPr/>
        <w:t xml:space="preserve"/>
      </w:r>
    </w:p>
    <w:p>
      <w:pPr>
        <w:spacing w:before="0" w:after="120" w:line="480" w:lineRule="auto"/>
        <w:jc w:val="center"/>
      </w:pPr>
      <w:r>
        <w:rPr>
          <w:b/>
          <w:sz w:val="40"/>
          <w:szCs w:val="40"/>
        </w:rPr>
        <w:t xml:space="preserve">Café Express</w:t>
      </w:r>
    </w:p>
    <w:p>
      <w:pPr>
        <w:spacing w:before="0" w:after="120" w:line="480" w:lineRule="auto"/>
        <w:jc w:val="center"/>
      </w:pPr>
      <w:r>
        <w:rPr>
          <w:sz w:val="28"/>
          <w:szCs w:val="28"/>
        </w:rPr>
        <w:t xml:space="preserve">Arquitectura de un sistema web para la gestión de pedidos de una cafetería</w:t>
      </w:r>
    </w:p>
    <w:p>
      <w:pPr>
        <w:spacing w:before="0" w:after="0" w:line="480" w:lineRule="auto"/>
        <w:jc w:val="center"/>
      </w:pPr>
      <w:r>
        <w:rPr/>
        <w:t xml:space="preserve"/>
      </w:r>
    </w:p>
    <w:p>
      <w:pPr>
        <w:spacing w:before="0" w:after="0" w:line="480" w:lineRule="auto"/>
        <w:jc w:val="center"/>
      </w:pPr>
      <w:r>
        <w:rPr/>
        <w:t xml:space="preserve"/>
      </w:r>
    </w:p>
    <w:p>
      <w:pPr>
        <w:spacing w:before="0" w:after="0" w:line="480" w:lineRule="auto"/>
        <w:jc w:val="center"/>
      </w:pPr>
      <w:r>
        <w:rPr/>
        <w:t xml:space="preserve"/>
      </w:r>
    </w:p>
    <w:p>
      <w:pPr>
        <w:spacing w:before="0" w:after="0" w:line="480" w:lineRule="auto"/>
        <w:jc w:val="center"/>
      </w:pPr>
      <w:r>
        <w:rPr/>
        <w:t xml:space="preserve">Institución Universitaria Tecnológica del Oriente</w:t>
      </w:r>
    </w:p>
    <w:p>
      <w:pPr>
        <w:spacing w:before="0" w:after="0" w:line="480" w:lineRule="auto"/>
        <w:jc w:val="center"/>
      </w:pPr>
      <w:r>
        <w:rPr/>
        <w:t xml:space="preserve">Arquitectura de Software — 20262, Nivel 5, Grupo B</w:t>
      </w:r>
    </w:p>
    <w:p>
      <w:pPr>
        <w:spacing w:before="0" w:after="0" w:line="480" w:lineRule="auto"/>
        <w:jc w:val="center"/>
      </w:pPr>
      <w:r>
        <w:rPr/>
        <w:t xml:space="preserve">Docente: Edward Alfonso Villamizar Vallejo</w:t>
      </w:r>
    </w:p>
    <w:p>
      <w:pPr>
        <w:spacing w:before="0" w:after="0" w:line="480" w:lineRule="auto"/>
        <w:jc w:val="center"/>
      </w:pPr>
      <w:r>
        <w:rPr/>
        <w:t xml:space="preserve">Integrantes: [Nombre 1] · [Nombre 2] · [Nombre 3]</w:t>
      </w:r>
    </w:p>
    <w:p>
      <w:pPr>
        <w:spacing w:before="0" w:after="0" w:line="480" w:lineRule="auto"/>
        <w:jc w:val="center"/>
      </w:pPr>
      <w:r>
        <w:rPr/>
        <w:t xml:space="preserve">Agosto de 2026</w:t>
      </w:r>
    </w:p>
    <w:p>
      <w:r>
        <w:br w:type="page"/>
      </w:r>
    </w:p>
    <w:p>
      <w:pPr>
        <w:spacing w:before="240" w:after="120" w:line="480" w:lineRule="auto"/>
        <w:jc w:val="center"/>
      </w:pPr>
      <w:r>
        <w:rPr>
          <w:b/>
        </w:rPr>
        <w:t xml:space="preserve">Resumen</w:t>
      </w:r>
    </w:p>
    <w:p>
      <w:pPr>
        <w:spacing w:before="0" w:after="120" w:line="480" w:lineRule="auto"/>
        <w:ind w:firstLine="720"/>
        <w:jc w:val="left"/>
      </w:pPr>
      <w:r>
        <w:rPr/>
        <w:t xml:space="preserve">Este informe presenta el análisis de requisitos, el diseño con UML, la selección de patrones de diseño y el prototipo funcional del sistema web Café Express para la gestión de pedidos de una cafetería. La arquitectura propuesta es un sistema en capas bajo el esquema Modelo-Vista-Controlador, con los patrones Repositorio, Strategy e inyección de dependencias, empaquetado en Docker para su despliegue en la nube.</w:t>
      </w:r>
    </w:p>
    <w:p>
      <w:pPr>
        <w:spacing w:before="240" w:after="120" w:line="480" w:lineRule="auto"/>
        <w:jc w:val="center"/>
      </w:pPr>
      <w:r>
        <w:rPr>
          <w:b/>
        </w:rPr>
        <w:t xml:space="preserve">1. Introducción</w:t>
      </w:r>
    </w:p>
    <w:p>
      <w:pPr>
        <w:spacing w:before="0" w:after="120" w:line="480" w:lineRule="auto"/>
        <w:ind w:firstLine="720"/>
        <w:jc w:val="left"/>
      </w:pPr>
      <w:r>
        <w:rPr/>
        <w:t xml:space="preserve">Café Express es una cafetería que registra sus pedidos de forma manual, lo que genera errores de transcripción, pérdida de comprobantes y desconocimiento por parte del cliente del estado de su pedido. Este documento presenta el diseño arquitectónico y el prototipo funcional de un sistema web pequeño para gestionar dichos pedidos.</w:t>
      </w:r>
    </w:p>
    <w:p>
      <w:pPr>
        <w:spacing w:before="0" w:after="120" w:line="480" w:lineRule="auto"/>
        <w:ind w:firstLine="720"/>
        <w:jc w:val="left"/>
      </w:pPr>
      <w:r>
        <w:rPr/>
        <w:t xml:space="preserve">El trabajo siguió seis pasos: análisis de requisitos funcionales y no funcionales; diseño arquitectónico mediante cuatro diagramas UML; investigación y selección de patrones considerando la computación en la nube; construcción del prototipo funcional; preparación de la presentación; y este informe. La decisión central es la separación de responsabilidades: cada componente tiene una única responsabilidad y se comunica solo con las capas adyacentes.</w:t>
      </w:r>
    </w:p>
    <w:p>
      <w:pPr>
        <w:spacing w:before="240" w:after="120" w:line="480" w:lineRule="auto"/>
        <w:jc w:val="center"/>
      </w:pPr>
      <w:r>
        <w:rPr>
          <w:b/>
        </w:rPr>
        <w:t xml:space="preserve">2. Análisis de requisitos</w:t>
      </w:r>
    </w:p>
    <w:p>
      <w:pPr>
        <w:spacing w:before="200" w:after="80" w:line="480" w:lineRule="auto"/>
        <w:jc w:val="left"/>
      </w:pPr>
      <w:r>
        <w:rPr>
          <w:b/>
        </w:rPr>
        <w:t xml:space="preserve">2.1 Técnica de análisis</w:t>
      </w:r>
    </w:p>
    <w:p>
      <w:pPr>
        <w:spacing w:before="0" w:after="120" w:line="480" w:lineRule="auto"/>
        <w:ind w:firstLine="720"/>
        <w:jc w:val="left"/>
      </w:pPr>
      <w:r>
        <w:rPr/>
        <w:t xml:space="preserve">Se aplicó la observación del proceso actual (pedidos en papel) junto con la técnica de eventos y actores: identificados los actores (cliente y administrador), se listaron los eventos del negocio que ellos disparan y de cada evento se derivó un requisito funcional.</w:t>
      </w:r>
    </w:p>
    <w:p>
      <w:pPr>
        <w:spacing w:before="200" w:after="80" w:line="480" w:lineRule="auto"/>
        <w:jc w:val="left"/>
      </w:pPr>
      <w:r>
        <w:rPr>
          <w:b/>
        </w:rPr>
        <w:t xml:space="preserve">2.2 Requisitos funcionales</w:t>
      </w:r>
    </w:p>
    <w:p>
      <w:pPr>
        <w:spacing w:before="40" w:after="160" w:line="480" w:lineRule="auto"/>
        <w:jc w:val="center"/>
      </w:pPr>
      <w:r>
        <w:rPr>
          <w:i/>
          <w:sz w:val="22"/>
          <w:szCs w:val="22"/>
        </w:rPr>
        <w:t xml:space="preserve">Tabla 1. Requisitos funcionales del sistema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Requisito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Actor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Consultar productos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Catálogo con nombre, categoría, precio y disponibilidad.</w:t>
            </w:r>
          </w:p>
        </w:tc>
      </w:tr>
      <w:tr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Realizar pedidos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Selecciona productos e indica nombre y forma de pago; el sistema valida reglas y registra.</w:t>
            </w:r>
          </w:p>
        </w:tc>
      </w:tr>
      <w:tr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Consultar estado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Con el número de pedido consulta estado, detalle y totales.</w:t>
            </w:r>
          </w:p>
        </w:tc>
      </w:tr>
      <w:tr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RF-04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Consultar pedidos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Lista todos los pedidos con cliente, estado y valores.</w:t>
            </w:r>
          </w:p>
        </w:tc>
      </w:tr>
      <w:tr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Actualizar estado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Solo transiciones válidas: RECIBIDO-EN_PREPARACION-LISTO-ENTREGADO o CANCELADO.</w:t>
            </w:r>
          </w:p>
        </w:tc>
      </w:tr>
      <w:tr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Gestionar productos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2256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Crear, editar precio, habilitar/deshabilitar y eliminar.</w:t>
            </w:r>
          </w:p>
        </w:tc>
      </w:tr>
    </w:tbl>
    <w:p>
      <w:pPr>
        <w:spacing w:before="0" w:after="0" w:line="480" w:lineRule="auto"/>
        <w:jc w:val="left"/>
      </w:pPr>
      <w:r>
        <w:rPr/>
        <w:t xml:space="preserve"/>
      </w:r>
    </w:p>
    <w:p>
      <w:pPr>
        <w:spacing w:before="200" w:after="80" w:line="480" w:lineRule="auto"/>
        <w:jc w:val="left"/>
      </w:pPr>
      <w:r>
        <w:rPr>
          <w:b/>
        </w:rPr>
        <w:t xml:space="preserve">2.3 Requisitos no funcionales</w:t>
      </w:r>
    </w:p>
    <w:p>
      <w:pPr>
        <w:spacing w:before="40" w:after="160" w:line="480" w:lineRule="auto"/>
        <w:jc w:val="center"/>
      </w:pPr>
      <w:r>
        <w:rPr>
          <w:i/>
          <w:sz w:val="22"/>
          <w:szCs w:val="22"/>
        </w:rPr>
        <w:t xml:space="preserve">Tabla 2. Requisitos no funcionales y respuesta arquitectónica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Requisito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Decisión arquitectónica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RNF-01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Fácil de utilizar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Interfaz web de una sola página con tres pestañas; API REST coherente.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RNF-02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Proteger la información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Credenciales verificadas en controladores con token; evolución a Identity Server OAuth2/JWT.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RNF-03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Fácil de mantener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Capas MVC más patrón Repositorio: módulos con responsabilidad única.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RNF-04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Agregar funcionalidades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Interfaces e inyección de dependencias sin reescribir código existente.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RNF-05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Escalabilidad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Docker sin dependencias nativas: réplicas/pods tras balanceador o más recursos al nodo.</w:t>
            </w:r>
          </w:p>
        </w:tc>
      </w:tr>
    </w:tbl>
    <w:p>
      <w:pPr>
        <w:spacing w:before="0" w:after="0" w:line="480" w:lineRule="auto"/>
        <w:jc w:val="left"/>
      </w:pPr>
      <w:r>
        <w:rPr/>
        <w:t xml:space="preserve"/>
      </w:r>
    </w:p>
    <w:p>
      <w:pPr>
        <w:spacing w:before="240" w:after="120" w:line="480" w:lineRule="auto"/>
        <w:jc w:val="center"/>
      </w:pPr>
      <w:r>
        <w:rPr>
          <w:b/>
        </w:rPr>
        <w:t xml:space="preserve">3. Diseño de la arquitectura mediante UML</w:t>
      </w:r>
    </w:p>
    <w:p>
      <w:pPr>
        <w:spacing w:before="200" w:after="80" w:line="480" w:lineRule="auto"/>
        <w:jc w:val="left"/>
      </w:pPr>
      <w:r>
        <w:rPr>
          <w:b/>
        </w:rPr>
        <w:t xml:space="preserve">3.1 Diagrama de casos de uso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588000" cy="4091214"/>
            <wp:effectExtent l="0" t="0" r="0" b="0"/>
            <wp:docPr id="11" name="Figur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09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480" w:lineRule="auto"/>
        <w:jc w:val="center"/>
      </w:pPr>
      <w:r>
        <w:rPr>
          <w:i/>
          <w:sz w:val="22"/>
          <w:szCs w:val="22"/>
        </w:rPr>
        <w:t xml:space="preserve">Figura 1. Casos de uso del sistema Café Express.</w:t>
      </w:r>
    </w:p>
    <w:p>
      <w:pPr>
        <w:spacing w:before="0" w:after="120" w:line="480" w:lineRule="auto"/>
        <w:ind w:firstLine="720"/>
        <w:jc w:val="left"/>
      </w:pPr>
      <w:r>
        <w:rPr/>
        <w:t xml:space="preserve">Descripción: el cliente consulta el catálogo, realiza pedidos y consulta su estado; el administrador consulta y actualiza pedidos y gestiona productos; los casos de escritura incluyen la validación de reglas de negocio.</w:t>
      </w:r>
    </w:p>
    <w:p>
      <w:pPr>
        <w:spacing w:before="0" w:after="120" w:line="480" w:lineRule="auto"/>
        <w:ind w:firstLine="720"/>
        <w:jc w:val="left"/>
      </w:pPr>
      <w:r>
        <w:rPr/>
        <w:t xml:space="preserve">Justificación: define la frontera del sistema y sus actores antes de diseñar; de él se derivan los módulos de presentación y los endpoints REST, dando trazabilidad entre requisitos y componentes.</w:t>
      </w:r>
    </w:p>
    <w:p>
      <w:pPr>
        <w:spacing w:before="200" w:after="80" w:line="480" w:lineRule="auto"/>
        <w:jc w:val="left"/>
      </w:pPr>
      <w:r>
        <w:rPr>
          <w:b/>
        </w:rPr>
        <w:t xml:space="preserve">3.2 Diagrama de clases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588000" cy="3357077"/>
            <wp:effectExtent l="0" t="0" r="0" b="0"/>
            <wp:docPr id="12" name="Figura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3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480" w:lineRule="auto"/>
        <w:jc w:val="center"/>
      </w:pPr>
      <w:r>
        <w:rPr>
          <w:i/>
          <w:sz w:val="22"/>
          <w:szCs w:val="22"/>
        </w:rPr>
        <w:t xml:space="preserve">Figura 2. Diagrama de clases: dominio, servicios e interfaces.</w:t>
      </w:r>
    </w:p>
    <w:p>
      <w:pPr>
        <w:spacing w:before="0" w:after="120" w:line="480" w:lineRule="auto"/>
        <w:ind w:firstLine="720"/>
        <w:jc w:val="left"/>
      </w:pPr>
      <w:r>
        <w:rPr/>
        <w:t xml:space="preserve">Descripción: Pedido agrega uno o más DetallePedido que referencian un Producto; la lógica vive en los servicios; el acceso a datos queda detrás de interfaces y la regla de descuento se encapsula en una estrategia intercambiable.</w:t>
      </w:r>
    </w:p>
    <w:p>
      <w:pPr>
        <w:spacing w:before="0" w:after="120" w:line="480" w:lineRule="auto"/>
        <w:ind w:firstLine="720"/>
        <w:jc w:val="left"/>
      </w:pPr>
      <w:r>
        <w:rPr/>
        <w:t xml:space="preserve">Justificación: evidencia la separación de responsabilidades y el desacoplamiento: cambiar el almacenamiento solo exige otra implementación del repositorio, sin modificar servicios ni controladores.</w:t>
      </w:r>
    </w:p>
    <w:p>
      <w:pPr>
        <w:spacing w:before="200" w:after="80" w:line="480" w:lineRule="auto"/>
        <w:jc w:val="left"/>
      </w:pPr>
      <w:r>
        <w:rPr>
          <w:b/>
        </w:rPr>
        <w:t xml:space="preserve">3.3 Diagrama de secuencia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588000" cy="3022082"/>
            <wp:effectExtent l="0" t="0" r="0" b="0"/>
            <wp:docPr id="13" name="Figura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0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480" w:lineRule="auto"/>
        <w:jc w:val="center"/>
      </w:pPr>
      <w:r>
        <w:rPr>
          <w:i/>
          <w:sz w:val="22"/>
          <w:szCs w:val="22"/>
        </w:rPr>
        <w:t xml:space="preserve">Figura 3. Secuencia del caso de uso Realizar pedido.</w:t>
      </w:r>
    </w:p>
    <w:p>
      <w:pPr>
        <w:spacing w:before="0" w:after="120" w:line="480" w:lineRule="auto"/>
        <w:ind w:firstLine="720"/>
        <w:jc w:val="left"/>
      </w:pPr>
      <w:r>
        <w:rPr/>
        <w:t xml:space="preserve">Descripción: recorre el flujo desde la acción del usuario hasta la persistencia y la notificación de confirmación.</w:t>
      </w:r>
    </w:p>
    <w:p>
      <w:pPr>
        <w:spacing w:before="0" w:after="120" w:line="480" w:lineRule="auto"/>
        <w:ind w:firstLine="720"/>
        <w:jc w:val="left"/>
      </w:pPr>
      <w:r>
        <w:rPr/>
        <w:t xml:space="preserve">Justificación: demuestra que cada mensaje cruza una sola frontera por capa; si una regla falla, el servicio responde y el controlador lo traduce a HTTP 422, sin que la interfaz acceda directamente a los datos.</w:t>
      </w:r>
    </w:p>
    <w:p>
      <w:pPr>
        <w:spacing w:before="200" w:after="80" w:line="480" w:lineRule="auto"/>
        <w:jc w:val="left"/>
      </w:pPr>
      <w:r>
        <w:rPr>
          <w:b/>
        </w:rPr>
        <w:t xml:space="preserve">3.4 Diagrama de despliegue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588000" cy="1632209"/>
            <wp:effectExtent l="0" t="0" r="0" b="0"/>
            <wp:docPr id="14" name="Figura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63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480" w:lineRule="auto"/>
        <w:jc w:val="center"/>
      </w:pPr>
      <w:r>
        <w:rPr>
          <w:i/>
          <w:sz w:val="22"/>
          <w:szCs w:val="22"/>
        </w:rPr>
        <w:t xml:space="preserve">Figura 4. Despliegue en la nube con réplicas horizontales (pods).</w:t>
      </w:r>
    </w:p>
    <w:p>
      <w:pPr>
        <w:spacing w:before="0" w:after="120" w:line="480" w:lineRule="auto"/>
        <w:ind w:firstLine="720"/>
        <w:jc w:val="left"/>
      </w:pPr>
      <w:r>
        <w:rPr/>
        <w:t xml:space="preserve">Descripción: el navegador ejecuta la vista; el balanceador distribuye las peticiones HTTPS entre réplicas idénticas; cada réplica accede a su almacén de datos.</w:t>
      </w:r>
    </w:p>
    <w:p>
      <w:pPr>
        <w:spacing w:before="0" w:after="120" w:line="480" w:lineRule="auto"/>
        <w:ind w:firstLine="720"/>
        <w:jc w:val="left"/>
      </w:pPr>
      <w:r>
        <w:rPr/>
        <w:t xml:space="preserve">Justificación: documenta dónde se ejecuta cada componente y cómo crece el sistema: escalar horizontalmente es agregar pods sin reconstruir nada; verticalmente es más RAM/CPU al nodo. Al ser un JAR sin dependencias nativas, la misma imagen corre en local o en la nube.</w:t>
      </w:r>
    </w:p>
    <w:p>
      <w:pPr>
        <w:spacing w:before="240" w:after="120" w:line="480" w:lineRule="auto"/>
        <w:jc w:val="center"/>
      </w:pPr>
      <w:r>
        <w:rPr>
          <w:b/>
        </w:rPr>
        <w:t xml:space="preserve">4. Patrones de diseño seleccionados</w:t>
      </w:r>
    </w:p>
    <w:p>
      <w:pPr>
        <w:spacing w:before="0" w:after="120" w:line="480" w:lineRule="auto"/>
        <w:ind w:firstLine="720"/>
        <w:jc w:val="left"/>
      </w:pPr>
      <w:r>
        <w:rPr/>
        <w:t xml:space="preserve">Se investigaron los catálogos clásicos (Gamma et al., 1994; Fowler, 2002) y los patrones para la nube (Microsoft, 2024). La selección y los descartes se justifican a continuación.</w:t>
      </w:r>
    </w:p>
    <w:p>
      <w:pPr>
        <w:spacing w:before="40" w:after="160" w:line="480" w:lineRule="auto"/>
        <w:jc w:val="center"/>
      </w:pPr>
      <w:r>
        <w:rPr>
          <w:i/>
          <w:sz w:val="22"/>
          <w:szCs w:val="22"/>
        </w:rPr>
        <w:t xml:space="preserve">Tabla 3. Patrones evaluados y decisión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Patrón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Decisión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MVC en capas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Seleccionado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Vista, controladores y modelo separados; responde a RNF-03.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Seleccionado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Los servicios ignoran dónde están los datos; migrar a SQL exige solo otra implementación.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Strategy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Seleccionado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PoliticaDescuento encapsula el descuento del 10 por ciento desde 200.000; nuevas promociones sin tocar el servicio.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Inyección de dependencias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Seleccionado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App.java compone repositorios, servicios y controladores por constructor.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Singleton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Descartado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Estado global difícil de probar; se prefiere un repositorio único inyectado.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API Gateway / BFF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Diferido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Pertinente con varios microservicios; sobreingeniería a esta escala.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Circuit Breaker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Diferido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Aplica ante dependencias externas que pueden fallar; aún no existen.</w:t>
            </w:r>
          </w:p>
        </w:tc>
      </w:tr>
      <w:tr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CQRS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Diferido</w:t>
            </w:r>
          </w:p>
        </w:tc>
        <w:tc>
          <w:tcPr>
            <w:tcW w:w="3009" w:type="dxa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Útil a gran volumen; duplicaría el esfuerzo aquí.</w:t>
            </w:r>
          </w:p>
        </w:tc>
      </w:tr>
    </w:tbl>
    <w:p>
      <w:pPr>
        <w:spacing w:before="0" w:after="0" w:line="480" w:lineRule="auto"/>
        <w:jc w:val="left"/>
      </w:pPr>
      <w:r>
        <w:rPr/>
        <w:t xml:space="preserve"/>
      </w:r>
    </w:p>
    <w:p>
      <w:pPr>
        <w:spacing w:before="240" w:after="120" w:line="480" w:lineRule="auto"/>
        <w:jc w:val="center"/>
      </w:pPr>
      <w:r>
        <w:rPr>
          <w:b/>
        </w:rPr>
        <w:t xml:space="preserve">5. Prototipo funcional</w:t>
      </w:r>
    </w:p>
    <w:p>
      <w:pPr>
        <w:spacing w:before="200" w:after="80" w:line="480" w:lineRule="auto"/>
        <w:jc w:val="left"/>
      </w:pPr>
      <w:r>
        <w:rPr>
          <w:b/>
        </w:rPr>
        <w:t xml:space="preserve">5.1 Tecnología y estructura</w:t>
      </w:r>
    </w:p>
    <w:p>
      <w:pPr>
        <w:spacing w:before="0" w:after="120" w:line="480" w:lineRule="auto"/>
        <w:ind w:firstLine="720"/>
        <w:jc w:val="left"/>
      </w:pPr>
      <w:r>
        <w:rPr/>
        <w:t xml:space="preserve">Java puro con el servidor HTTP integrado del JDK, sin Maven ni librerías externas; vista de una sola página con HTML, CSS y JavaScript vanilla; almacenamiento en memoria sembrado con el catálogo de productos. Los paquetes controller, service, repository, domain y web reflejan cada capa y App.java compone e inyecta las dependencias.</w:t>
      </w:r>
    </w:p>
    <w:p>
      <w:pPr>
        <w:spacing w:before="200" w:after="80" w:line="480" w:lineRule="auto"/>
        <w:jc w:val="left"/>
      </w:pPr>
      <w:r>
        <w:rPr>
          <w:b/>
        </w:rPr>
        <w:t xml:space="preserve">5.2 Reglas de negocio evidenciadas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Descuento automático del 10 por ciento cuando el subtotal alcanza 200.000 (verificado: un pedido de 220.000 recibe 22.000 de descuento y total 198.000).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Pagos con tarjeta solo desde 5.000: pedidos menores se rechazan con HTTP 422.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Transiciones válidas de estado: RECIBIDO a ENTREGADO se rechaza; RECIBIDO a EN_PREPARACION se acepta.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Operaciones administrativas protegidas por token: sin él responden HTTP 401.</w:t>
      </w:r>
    </w:p>
    <w:p>
      <w:pPr>
        <w:spacing w:before="200" w:after="80" w:line="480" w:lineRule="auto"/>
        <w:jc w:val="left"/>
      </w:pPr>
      <w:r>
        <w:rPr>
          <w:b/>
        </w:rPr>
        <w:t xml:space="preserve">5.3 Ejecución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Local: compilar con javac -encoding UTF-8 -d bin los fuentes de src y ejecutar java -cp bin cafeexpress.App; la vista queda en http://localhost:8080.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Nube: docker build -t cafe-express . y docker run -p 8080:8080 cafe-express.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Token administrativo demostrativo: admin123; en producción se sustituiría por Identity Server (OAuth2/JWT).</w:t>
      </w:r>
    </w:p>
    <w:p>
      <w:pPr>
        <w:spacing w:before="240" w:after="120" w:line="480" w:lineRule="auto"/>
        <w:jc w:val="center"/>
      </w:pPr>
      <w:r>
        <w:rPr>
          <w:b/>
        </w:rPr>
        <w:t xml:space="preserve">6. Conclusiones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La separación de responsabilidades en capas satisface simultáneamente mantenibilidad, extensibilidad y protección de la información.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El patrón Repositorio desacopla la persistencia: migrar a una base administrada en la nube no obliga a reescribir la lógica.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La arquitectura escala verticalmente potenciando el nodo y horizontalmente replicando contenedores idénticos detrás de un balanceador.</w:t>
      </w:r>
    </w:p>
    <w:p>
      <w:pPr>
        <w:spacing w:before="0" w:after="60" w:line="480" w:lineRule="auto"/>
        <w:ind w:left="360" w:firstLine="0"/>
        <w:jc w:val="left"/>
      </w:pPr>
      <w:r>
        <w:rPr/>
        <w:t xml:space="preserve">- Los patrones descartados quedan documentados con su criterio de activación: el diseño es una hoja de ruta evolutiva.</w:t>
      </w:r>
    </w:p>
    <w:p>
      <w:pPr>
        <w:spacing w:before="240" w:after="120" w:line="480" w:lineRule="auto"/>
        <w:jc w:val="center"/>
      </w:pPr>
      <w:r>
        <w:rPr>
          <w:b/>
        </w:rPr>
        <w:t xml:space="preserve">Referencias</w:t>
      </w:r>
    </w:p>
    <w:p>
      <w:pPr>
        <w:spacing w:before="0" w:after="120" w:line="480" w:lineRule="auto"/>
        <w:ind w:left="720" w:firstLine="-720"/>
        <w:jc w:val="left"/>
      </w:pPr>
      <w:r>
        <w:rPr/>
        <w:t xml:space="preserve">Bass, L., Clements, P., &amp; Kazman, R. (2012). Software architecture in practice (3.a ed.). Addison-Wesley.</w:t>
      </w:r>
    </w:p>
    <w:p>
      <w:pPr>
        <w:spacing w:before="0" w:after="120" w:line="480" w:lineRule="auto"/>
        <w:ind w:left="720" w:firstLine="-720"/>
        <w:jc w:val="left"/>
      </w:pPr>
      <w:r>
        <w:rPr/>
        <w:t xml:space="preserve">Fowler, M. (2002). Patterns of enterprise application architecture. Addison-Wesley.</w:t>
      </w:r>
    </w:p>
    <w:p>
      <w:pPr>
        <w:spacing w:before="0" w:after="120" w:line="480" w:lineRule="auto"/>
        <w:ind w:left="720" w:firstLine="-720"/>
        <w:jc w:val="left"/>
      </w:pPr>
      <w:r>
        <w:rPr/>
        <w:t xml:space="preserve">Gamma, E., Helm, R., Johnson, R., &amp; Vlissides, J. (1994). Design patterns: Elements of reusable object-oriented software. Addison-Wesley.</w:t>
      </w:r>
    </w:p>
    <w:p>
      <w:pPr>
        <w:spacing w:before="0" w:after="120" w:line="480" w:lineRule="auto"/>
        <w:ind w:left="720" w:firstLine="-720"/>
        <w:jc w:val="left"/>
      </w:pPr>
      <w:r>
        <w:rPr/>
        <w:t xml:space="preserve">Microsoft. (2024). Cloud design patterns. https://learn.microsoft.com/azure/architecture/patterns/</w:t>
      </w:r>
    </w:p>
    <w:p>
      <w:pPr>
        <w:spacing w:before="0" w:after="120" w:line="480" w:lineRule="auto"/>
        <w:ind w:left="720" w:firstLine="-720"/>
        <w:jc w:val="left"/>
      </w:pPr>
      <w:r>
        <w:rPr/>
        <w:t xml:space="preserve">Sommerville, I. (2011). Ingenieria de software (9.a ed.). Pearson Educacion.</w:t>
      </w:r>
    </w:p>
    <w:sectPr>
      <w:headerReference w:type="default" r:id="rIdH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before="0" w:after="120"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H" Type="http://schemas.openxmlformats.org/officeDocument/2006/relationships/header" Target="head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