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720" w:after="160"/>
      </w:pPr>
      <w:r>
        <w:rPr>
          <w:noProof/>
        </w:rPr>
        <w:drawing>
          <wp:inline distT="0" distB="0" distL="0" distR="0">
            <wp:extent cx="1097280" cy="1097280"/>
            <wp:effectExtent l="0" t="0" r="0" b="0"/>
            <wp:docPr id="1" name="ma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ma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/>
      </w:pPr>
      <w:r>
        <w:rPr>
          <w:rFonts w:ascii="Segoe UI" w:hAnsi="Segoe UI"/>
          <w:b/>
          <w:color w:val="10151F"/>
          <w:sz w:val="76"/>
          <w:spacing w:val="40"/>
        </w:rPr>
        <w:t>AURA</w:t>
      </w:r>
      <w:r>
        <w:rPr>
          <w:rFonts w:ascii="Segoe UI" w:hAnsi="Segoe UI"/>
          <w:b/>
          <w:color w:val="FF2D3D"/>
          <w:sz w:val="76"/>
        </w:rPr>
        <w:t> · </w:t>
      </w:r>
      <w:r>
        <w:rPr>
          <w:rFonts w:ascii="Segoe UI" w:hAnsi="Segoe UI"/>
          <w:b/>
          <w:color w:val="10151F"/>
          <w:sz w:val="76"/>
          <w:spacing w:val="40"/>
        </w:rPr>
        <w:t>SOC</w:t>
      </w:r>
    </w:p>
    <w:p>
      <w:pPr>
        <w:jc w:val="center"/>
        <w:spacing w:after="360"/>
      </w:pPr>
      <w:r>
        <w:rPr>
          <w:color w:val="6B7688"/>
          <w:spacing w:val="140"/>
          <w:sz w:val="20"/>
        </w:rPr>
        <w:t>DETECT · RESPOND</w:t>
      </w:r>
    </w:p>
    <w:p>
      <w:pPr>
        <w:pBdr>
          <w:bottom w:val="single" w:sz="24" w:space="1" w:color="FF2D3D"/>
        </w:pBdr>
        <w:spacing w:after="420"/>
      </w:pPr>
    </w:p>
    <w:p>
      <w:pPr>
        <w:jc w:val="center"/>
        <w:spacing w:after="60"/>
      </w:pPr>
      <w:r>
        <w:rPr>
          <w:color w:val="6B7688"/>
          <w:sz w:val="26"/>
        </w:rPr>
        <w:t xml:space="preserve">RAPPORT D'INVESTIGATION D'INCIDENT</w:t>
      </w:r>
    </w:p>
    <w:p>
      <w:pPr>
        <w:pStyle w:val="Title"/>
        <w:jc w:val="center"/>
      </w:pPr>
      <w:r>
        <w:t xml:space="preserve">{{ case.name | default('« Nom du dossier »', true) }}</w:t>
      </w:r>
    </w:p>
    <w:p>
      <w:pPr>
        <w:spacing w:before="240" w:after="0"/>
      </w:pPr>
    </w:p>
    <w:tbl>
      <w:tblPr>
        <w:tblW w:w="6600" w:type="dxa"/>
        <w:jc w:val="center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20" w:firstRow="0" w:lastRow="0" w:firstColumn="1" w:lastColumn="0" w:noHBand="0" w:noVBand="1"/>
      </w:tblPr>
      <w:tblGrid>
        <w:gridCol w:w="3000"/>
        <w:gridCol w:w="3600"/>
      </w:tblGrid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Identifiant du dossier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#{{ case.case_id | default('—', true) }}</w:t>
            </w:r>
          </w:p>
        </w:tc>
      </w:tr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Classification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case.classification.name if case.classification else 'Non classifié' }}</w:t>
            </w:r>
          </w:p>
        </w:tc>
      </w:tr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Sévérité / criticité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case.severity.severity_name if case.severity else '—' }}</w:t>
            </w:r>
          </w:p>
        </w:tc>
      </w:tr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Date d'ouverture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case.open_date | default('—', true) }}</w:t>
            </w:r>
          </w:p>
        </w:tc>
      </w:tr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Date de clôture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case.close_date | default('Investigation en cours', true) }}</w:t>
            </w:r>
          </w:p>
        </w:tc>
      </w:tr>
      <w:tr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Étiquettes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case.tags | map(attribute='tag_title') | join(', ') if case.tags else '—' }}</w:t>
            </w:r>
          </w:p>
        </w:tc>
      </w:tr>
    </w:tbl>
    <w:p>
      <w:pPr>
        <w:jc w:val="center"/>
        <w:spacing w:before="900" w:after="0"/>
        <w:pBdr>
          <w:top w:val="single" w:sz="6" w:space="6" w:color="D9DEE6"/>
          <w:bottom w:val="single" w:sz="6" w:space="6" w:color="D9DEE6"/>
        </w:pBdr>
        <w:sectPr>
          <w:headerReference w:type="default" r:id="rId3"/>
          <w:footerReference w:type="default" r:id="rId4"/>
          <w:pgSz w:w="11906" w:h="16838"/>
          <w:pgMar w:top="1440" w:right="1276" w:bottom="1440" w:left="1276" w:header="680" w:footer="680" w:gutter="0"/>
        </w:sectPr>
      </w:pPr>
      <w:r>
        <w:rPr>
          <w:b/>
          <w:color w:val="FF2D3D"/>
          <w:spacing w:val="30"/>
        </w:rPr>
        <w:t>CONFIDENTIEL</w:t>
      </w:r>
      <w:r>
        <w:rPr>
          <w:color w:val="6B7688"/>
        </w:rPr>
        <w:t xml:space="preserve"> — Document réservé à l'équipe de réponse à incident (CSIRT / SOC). Ne pas diffuser sans autorisation.</w:t>
      </w:r>
    </w:p>
    <w:p>
      <w:pPr>
        <w:pStyle w:val="TOCHeading"/>
      </w:pPr>
      <w:r>
        <w:t xml:space="preserve">Table des matières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6B7688"/>
        </w:rPr>
        <w:t xml:space="preserve">Sélectionnez cette table puis appuyez sur F9 pour générer la table des matières.</w:t>
      </w:r>
      <w:r>
        <w:fldChar w:fldCharType="end"/>
      </w:r>
    </w:p>
    <w:p>
      <w:pPr>
        <w:pStyle w:val="Heading1"/>
      </w:pPr>
      <w:r>
        <w:t xml:space="preserve">1. Résumé exécutif</w:t>
      </w:r>
    </w:p>
    <w:p>
      <w:pPr/>
      <w:r>
        <w:t xml:space="preserve">Ce rapport présente les constats, l'analyse et les actions engagées dans le cadre de l'investigation du dossier référencé en page de garde. Il est généré automatiquement à partir des données consignées dans DFIR-IRIS.</w:t>
      </w:r>
    </w:p>
    <w:p>
      <w:pPr/>
      <w:r>
        <w:t xml:space="preserve">Sévérité évaluée : {{ case.severity.severity_name if case.severity else 'non renseignée' }} — Classification : {{ case.classification.name if case.classification else 'non renseignée' }}.</w:t>
      </w:r>
    </w:p>
    <w:p>
      <w:pPr>
        <w:pStyle w:val="Heading2"/>
      </w:pPr>
      <w:r>
        <w:t xml:space="preserve">Contexte du dossier</w:t>
      </w:r>
    </w:p>
    <w:p>
      <w:pPr/>
      <w:r>
        <w:t xml:space="preserve">{{ (case.description | striptags) if case.description else 'Aucune description synthétique n\'a été renseignée pour ce dossier.' }}</w:t>
      </w:r>
    </w:p>
    <w:p>
      <w:pPr>
        <w:pStyle w:val="Heading1"/>
      </w:pPr>
      <w:r>
        <w:t xml:space="preserve">2. Chronologie de l'incident</w:t>
      </w:r>
    </w:p>
    <w:p>
      <w:pPr>
        <w:spacing w:after="0" w:line="240" w:lineRule="auto"/>
      </w:pPr>
      <w:r>
        <w:t xml:space="preserve">{%p if timeline %}</w:t>
      </w:r>
    </w:p>
    <w:p>
      <w:pPr/>
      <w:r>
        <w:rPr>
          <w:color w:val="6B7688"/>
        </w:rPr>
        <w:t xml:space="preserve">Séquence des événements marquants reconstituée durant l'investigation :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1900"/>
        <w:gridCol w:w="3000"/>
        <w:gridCol w:w="4454"/>
      </w:tblGrid>
      <w:tr>
        <w:tc>
          <w:tcPr>
            <w:tcW w:w="19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Horodatage</w:t>
            </w:r>
          </w:p>
        </w:tc>
        <w:tc>
          <w:tcPr>
            <w:tcW w:w="3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Événement</w:t>
            </w:r>
          </w:p>
        </w:tc>
        <w:tc>
          <w:tcPr>
            <w:tcW w:w="44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Détails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for ev in timeline %}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ev.event_date.strftime('%Y-%m-%d %H:%M:%S') if ev.event_date.strftime is defined else ev.event_date }}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ev.event_title | default('Événement', true) }}</w:t>
            </w:r>
          </w:p>
        </w:tc>
        <w:tc>
          <w:tcPr>
            <w:tcW w:w="4454" w:type="dxa"/>
            <w:vAlign w:val="center"/>
          </w:tcPr>
          <w:p>
            <w:pPr>
              <w:spacing w:before="20" w:after="20" w:line="240" w:lineRule="auto"/>
            </w:pPr>
            <w:r>
              <w:t xml:space="preserve">{{ (ev.event_content | striptags) if ev.event_content else '—' }}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endfor %}</w:t>
            </w:r>
          </w:p>
        </w:tc>
      </w:tr>
    </w:tbl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 événement de chronologie n'a été enregistré pour ce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3. Analyse technique détaillée</w:t>
      </w:r>
    </w:p>
    <w:p>
      <w:pPr>
        <w:spacing w:after="0" w:line="240" w:lineRule="auto"/>
      </w:pPr>
      <w:r>
        <w:t xml:space="preserve">{%p if notes %}</w:t>
      </w:r>
    </w:p>
    <w:p>
      <w:pPr>
        <w:spacing w:after="0" w:line="240" w:lineRule="auto"/>
      </w:pPr>
      <w:r>
        <w:t xml:space="preserve">{%p for note in notes %}</w:t>
      </w:r>
    </w:p>
    <w:p>
      <w:pPr>
        <w:pStyle w:val="Heading2"/>
      </w:pPr>
      <w:r>
        <w:t xml:space="preserve">{{ note.note_title | default('Note sans titre', true) }}</w:t>
      </w:r>
    </w:p>
    <w:p>
      <w:pPr/>
      <w:r>
        <w:t xml:space="preserve">{{ (note.note_content | striptags) if note.note_content else 'Contenu non renseigné.' }}</w:t>
      </w:r>
    </w:p>
    <w:p>
      <w:pPr>
        <w:spacing w:after="0" w:line="240" w:lineRule="auto"/>
      </w:pPr>
      <w:r>
        <w:t xml:space="preserve">{%p endfor %}</w:t>
      </w:r>
    </w:p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Aucune note d'analyse technique n'a été consignée pour ce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4. Indicateurs de compromission (IOC)</w:t>
      </w:r>
    </w:p>
    <w:p>
      <w:pPr>
        <w:spacing w:after="0" w:line="240" w:lineRule="auto"/>
      </w:pPr>
      <w:r>
        <w:t xml:space="preserve">{%p if iocs %}</w:t>
      </w:r>
    </w:p>
    <w:p>
      <w:pPr/>
      <w:r>
        <w:rPr>
          <w:color w:val="6B7688"/>
        </w:rPr>
        <w:t xml:space="preserve">Indicateurs identifiés au cours de l'investigation. Les valeurs ci-dessous sont fournies à des fins de détection et de blocage.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1600"/>
        <w:gridCol w:w="3800"/>
        <w:gridCol w:w="3954"/>
      </w:tblGrid>
      <w:tr>
        <w:tc>
          <w:tcPr>
            <w:tcW w:w="16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Type</w:t>
            </w:r>
          </w:p>
        </w:tc>
        <w:tc>
          <w:tcPr>
            <w:tcW w:w="38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Valeur</w:t>
            </w:r>
          </w:p>
        </w:tc>
        <w:tc>
          <w:tcPr>
            <w:tcW w:w="39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Description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for ioc in iocs %}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ioc.ioc_type.type_name if ioc.ioc_type else '—' }}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ioc.ioc_value | default('—', true) }}</w:t>
            </w:r>
          </w:p>
        </w:tc>
        <w:tc>
          <w:tcPr>
            <w:tcW w:w="3954" w:type="dxa"/>
            <w:vAlign w:val="center"/>
          </w:tcPr>
          <w:p>
            <w:pPr>
              <w:spacing w:before="20" w:after="20" w:line="240" w:lineRule="auto"/>
            </w:pPr>
            <w:r>
              <w:t xml:space="preserve">{{ (ioc.ioc_description | striptags) if ioc.ioc_description else '—' }}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endfor %}</w:t>
            </w:r>
          </w:p>
        </w:tc>
      </w:tr>
    </w:tbl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 indicateur de compromission n'a été identifié pour ce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5. Actifs impactés</w:t>
      </w:r>
    </w:p>
    <w:p>
      <w:pPr>
        <w:spacing w:after="0" w:line="240" w:lineRule="auto"/>
      </w:pPr>
      <w:r>
        <w:t xml:space="preserve">{%p if assets %}</w:t>
      </w:r>
    </w:p>
    <w:p>
      <w:pPr/>
      <w:r>
        <w:rPr>
          <w:color w:val="6B7688"/>
        </w:rPr>
        <w:t xml:space="preserve">Systèmes et actifs entrant dans le périmètre de l'incident :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2600"/>
        <w:gridCol w:w="1800"/>
        <w:gridCol w:w="2200"/>
        <w:gridCol w:w="2754"/>
      </w:tblGrid>
      <w:tr>
        <w:tc>
          <w:tcPr>
            <w:tcW w:w="26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Actif</w:t>
            </w:r>
          </w:p>
        </w:tc>
        <w:tc>
          <w:tcPr>
            <w:tcW w:w="18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Type</w:t>
            </w:r>
          </w:p>
        </w:tc>
        <w:tc>
          <w:tcPr>
            <w:tcW w:w="22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Adresse IP</w:t>
            </w:r>
          </w:p>
        </w:tc>
        <w:tc>
          <w:tcPr>
            <w:tcW w:w="27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Statut</w:t>
            </w:r>
          </w:p>
        </w:tc>
      </w:tr>
      <w:tr>
        <w:trPr>
          <w:trHeight w:val="20" w:hRule="exact"/>
        </w:trPr>
        <w:tc>
          <w:tcPr>
            <w:gridSpan w:val="4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for asset in assets %}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asset.asset_name | default('—', true) }}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asset.type | default('—', true) }}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asset.asset_ip | default('—', true) }}</w:t>
            </w:r>
          </w:p>
        </w:tc>
        <w:tc>
          <w:tcPr>
            <w:tcW w:w="2754" w:type="dxa"/>
            <w:vAlign w:val="center"/>
          </w:tcPr>
          <w:p>
            <w:pPr>
              <w:spacing w:before="20" w:after="20" w:line="240" w:lineRule="auto"/>
            </w:pPr>
            <w:r>
              <w:t xml:space="preserve">{% if asset.asset_compromise_status == 'Compromised' %}</w:t>
            </w:r>
            <w:r>
              <w:rPr>
                <w:b/>
                <w:color w:val="FF2D3D"/>
              </w:rPr>
              <w:t>Compromis</w:t>
            </w:r>
            <w:r>
              <w:t xml:space="preserve">{% else %}</w:t>
            </w:r>
            <w:r>
              <w:rPr>
                <w:color w:val="3A7A47"/>
              </w:rPr>
              <w:t>{{ asset.asset_compromise_status | default('—', true) }}</w:t>
            </w:r>
            <w:r>
              <w:t xml:space="preserve">{% endif %}</w:t>
            </w:r>
          </w:p>
        </w:tc>
      </w:tr>
      <w:tr>
        <w:trPr>
          <w:trHeight w:val="20" w:hRule="exact"/>
        </w:trPr>
        <w:tc>
          <w:tcPr>
            <w:gridSpan w:val="4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endfor %}</w:t>
            </w:r>
          </w:p>
        </w:tc>
      </w:tr>
    </w:tbl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 actif n'a été rattaché à ce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6. Actions de remédiation</w:t>
      </w:r>
    </w:p>
    <w:p>
      <w:pPr>
        <w:spacing w:after="0" w:line="240" w:lineRule="auto"/>
      </w:pPr>
      <w:r>
        <w:t xml:space="preserve">{%p if tasks %}</w:t>
      </w:r>
    </w:p>
    <w:p>
      <w:pPr/>
      <w:r>
        <w:rPr>
          <w:color w:val="6B7688"/>
        </w:rPr>
        <w:t xml:space="preserve">Tâches de confinement, d'éradication et de rétablissement suivies dans le dossier :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2800"/>
        <w:gridCol w:w="1600"/>
        <w:gridCol w:w="2000"/>
        <w:gridCol w:w="2954"/>
      </w:tblGrid>
      <w:tr>
        <w:tc>
          <w:tcPr>
            <w:tcW w:w="28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Tâche</w:t>
            </w:r>
          </w:p>
        </w:tc>
        <w:tc>
          <w:tcPr>
            <w:tcW w:w="16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Statut</w:t>
            </w:r>
          </w:p>
        </w:tc>
        <w:tc>
          <w:tcPr>
            <w:tcW w:w="2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Assigné à</w:t>
            </w:r>
          </w:p>
        </w:tc>
        <w:tc>
          <w:tcPr>
            <w:tcW w:w="29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Description</w:t>
            </w:r>
          </w:p>
        </w:tc>
      </w:tr>
      <w:tr>
        <w:trPr>
          <w:trHeight w:val="20" w:hRule="exact"/>
        </w:trPr>
        <w:tc>
          <w:tcPr>
            <w:gridSpan w:val="4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for task in tasks %}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task.task_title | default('—', true) 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task.task_status | default('—', true) 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task.task_assignees | map(attribute='name') | join(', ') if task.task_assignees else 'Non assignée' }}</w:t>
            </w:r>
          </w:p>
        </w:tc>
        <w:tc>
          <w:tcPr>
            <w:tcW w:w="2954" w:type="dxa"/>
            <w:vAlign w:val="center"/>
          </w:tcPr>
          <w:p>
            <w:pPr>
              <w:spacing w:before="20" w:after="20" w:line="240" w:lineRule="auto"/>
            </w:pPr>
            <w:r>
              <w:t xml:space="preserve">{{ (task.task_description | striptags) if task.task_description else '—' }}</w:t>
            </w:r>
          </w:p>
        </w:tc>
      </w:tr>
      <w:tr>
        <w:trPr>
          <w:trHeight w:val="20" w:hRule="exact"/>
        </w:trPr>
        <w:tc>
          <w:tcPr>
            <w:gridSpan w:val="4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endfor %}</w:t>
            </w:r>
          </w:p>
        </w:tc>
      </w:tr>
    </w:tbl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Aucune action de remédiation n'a encore été enregistrée pour ce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7. Conclusion et recommandations</w:t>
      </w:r>
    </w:p>
    <w:p>
      <w:pPr>
        <w:pStyle w:val="Heading2"/>
      </w:pPr>
      <w:r>
        <w:t xml:space="preserve">Synthèse de l'investigation</w:t>
      </w:r>
    </w:p>
    <w:p>
      <w:pPr/>
      <w:r>
        <w:rPr>
          <w:i/>
          <w:color w:val="6B7688"/>
        </w:rPr>
        <w:t xml:space="preserve">« À compléter par l'analyste : rappeler l'origine de l'incident, l'étendue de la compromission, l'impact métier constaté et l'état de résolution. »</w:t>
      </w:r>
    </w:p>
    <w:p>
      <w:pPr>
        <w:pStyle w:val="Heading2"/>
      </w:pPr>
      <w:r>
        <w:t xml:space="preserve">Recommandations</w:t>
      </w:r>
    </w:p>
    <w:p>
      <w:pPr>
        <w:spacing w:after="40"/>
        <w:ind w:left="360" w:hanging="220"/>
      </w:pPr>
      <w:r>
        <w:rPr>
          <w:color w:val="FF2D3D"/>
        </w:rPr>
        <w:t xml:space="preserve">•  </w:t>
      </w:r>
      <w:r>
        <w:t xml:space="preserve">« À compléter : mesures correctives prioritaires. »</w:t>
      </w:r>
    </w:p>
    <w:p>
      <w:pPr>
        <w:spacing w:after="40"/>
        <w:ind w:left="360" w:hanging="220"/>
      </w:pPr>
      <w:r>
        <w:rPr>
          <w:color w:val="FF2D3D"/>
        </w:rPr>
        <w:t xml:space="preserve">•  </w:t>
      </w:r>
      <w:r>
        <w:t xml:space="preserve">« À compléter : renforcements de détection et de journalisation. »</w:t>
      </w:r>
    </w:p>
    <w:p>
      <w:pPr>
        <w:spacing w:after="40"/>
        <w:ind w:left="360" w:hanging="220"/>
      </w:pPr>
      <w:r>
        <w:rPr>
          <w:color w:val="FF2D3D"/>
        </w:rPr>
        <w:t xml:space="preserve">•  </w:t>
      </w:r>
      <w:r>
        <w:t xml:space="preserve">« À compléter : actions organisationnelles et de sensibilisation. »</w:t>
      </w:r>
    </w:p>
    <w:p>
      <w:pPr>
        <w:pStyle w:val="Heading1"/>
      </w:pPr>
      <w:r>
        <w:t xml:space="preserve">Annexe A — Preuves collectées</w:t>
      </w:r>
    </w:p>
    <w:p>
      <w:pPr>
        <w:spacing w:after="0" w:line="240" w:lineRule="auto"/>
      </w:pPr>
      <w:r>
        <w:t xml:space="preserve">{%p if evidences %}</w:t>
      </w:r>
    </w:p>
    <w:p>
      <w:pPr/>
      <w:r>
        <w:rPr>
          <w:color w:val="6B7688"/>
        </w:rPr>
        <w:t xml:space="preserve">Inventaire des éléments de preuve versés au dossier :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2800"/>
        <w:gridCol w:w="4000"/>
        <w:gridCol w:w="2554"/>
      </w:tblGrid>
      <w:tr>
        <w:tc>
          <w:tcPr>
            <w:tcW w:w="28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Élément de preuve</w:t>
            </w:r>
          </w:p>
        </w:tc>
        <w:tc>
          <w:tcPr>
            <w:tcW w:w="40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Description</w:t>
            </w:r>
          </w:p>
        </w:tc>
        <w:tc>
          <w:tcPr>
            <w:tcW w:w="25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Empreinte (hash)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for ev in evidences %}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ev.filename | default('Preuve sans nom', true) }}</w:t>
            </w:r>
          </w:p>
        </w:tc>
        <w:tc>
          <w:tcPr>
            <w:tcW w:w="4000" w:type="dxa"/>
            <w:vAlign w:val="center"/>
          </w:tcPr>
          <w:p>
            <w:pPr>
              <w:spacing w:before="20" w:after="20" w:line="240" w:lineRule="auto"/>
            </w:pPr>
            <w:r>
              <w:t xml:space="preserve">{{ 'Détail dans l\'onglet Evidence du case IRIS (non exportable ici).' }}</w:t>
            </w:r>
          </w:p>
        </w:tc>
        <w:tc>
          <w:tcPr>
            <w:tcW w:w="2554" w:type="dxa"/>
            <w:vAlign w:val="center"/>
          </w:tcPr>
          <w:p>
            <w:pPr>
              <w:spacing w:before="20" w:after="20" w:line="240" w:lineRule="auto"/>
            </w:pPr>
            <w:r>
              <w:t xml:space="preserve">{{ ev.file_hash | default('—', true) }}</w:t>
            </w:r>
          </w:p>
        </w:tc>
      </w:tr>
      <w:tr>
        <w:trPr>
          <w:trHeight w:val="20" w:hRule="exact"/>
        </w:trPr>
        <w:tc>
          <w:tcPr>
            <w:gridSpan w:val="3"/>
            <w:tcW w:w="0" w:type="auto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0" w:lineRule="exact"/>
            </w:pPr>
            <w:r>
              <w:rPr>
                <w:sz w:val="2"/>
              </w:rPr>
              <w:t xml:space="preserve">{%tr endfor %}</w:t>
            </w:r>
          </w:p>
        </w:tc>
      </w:tr>
    </w:tbl>
    <w:p>
      <w:pPr>
        <w:spacing w:after="0" w:line="240" w:lineRule="auto"/>
      </w:pPr>
      <w:r>
        <w:t xml:space="preserve">{%p else %}</w:t>
      </w:r>
    </w:p>
    <w:p>
      <w:pPr/>
      <w:r>
        <w:rPr>
          <w:i/>
          <w:color w:val="6B7688"/>
        </w:rPr>
        <w:t xml:space="preserve">Aucun élément de preuve n'a été versé au dossier.</w:t>
      </w:r>
    </w:p>
    <w:p>
      <w:pPr>
        <w:spacing w:after="0" w:line="240" w:lineRule="auto"/>
      </w:pPr>
      <w:r>
        <w:t xml:space="preserve">{%p endif %}</w:t>
      </w:r>
    </w:p>
    <w:p>
      <w:pPr>
        <w:pStyle w:val="Heading1"/>
      </w:pPr>
      <w:r>
        <w:t xml:space="preserve">Annexe B — Schéma de contexte Jinja supposé</w:t>
      </w:r>
    </w:p>
    <w:p>
      <w:pPr/>
      <w:r>
        <w:rPr>
          <w:color w:val="6B7688"/>
        </w:rPr>
        <w:t xml:space="preserve">Ce gabarit suppose les noms de variables ci-dessous. Adaptez-les au contexte réel exposé par votre instance DFIR-IRIS v2.4.27 avant mise en production ; tous les champs disposent d'une valeur de repli.</w:t>
      </w:r>
    </w:p>
    <w:tbl>
      <w:tblPr>
        <w:tblW w:w="0" w:type="auto"/>
        <w:tblBorders>
          <w:top w:val="single" w:sz="4" w:color="C7CEDA"/>
          <w:left w:val="single" w:sz="4" w:color="C7CEDA"/>
          <w:bottom w:val="single" w:sz="4" w:color="C7CEDA"/>
          <w:right w:val="single" w:sz="4" w:color="C7CEDA"/>
          <w:insideH w:val="single" w:sz="4" w:color="C7CEDA"/>
          <w:insideV w:val="single" w:sz="4" w:color="C7CEDA"/>
        </w:tblBorders>
        <w:tblLook w:val="04A0" w:firstRow="1" w:lastRow="0" w:firstColumn="0" w:lastColumn="0" w:noHBand="0" w:noVBand="1"/>
      </w:tblPr>
      <w:tblGrid>
        <w:gridCol w:w="3600"/>
        <w:gridCol w:w="5754"/>
      </w:tblGrid>
      <w:tr>
        <w:tc>
          <w:tcPr>
            <w:tcW w:w="3600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Variable Jinja utilisée</w:t>
            </w:r>
          </w:p>
        </w:tc>
        <w:tc>
          <w:tcPr>
            <w:tcW w:w="5754" w:type="dxa"/>
            <w:shd w:val="clear" w:color="auto" w:fill="D9DEE6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color w:val="10151F"/>
              </w:rPr>
              <w:t xml:space="preserve">Signification supposée / à vérifier dans IRIS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case.name / case.case_id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Nom et identifiant du dossier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case.classification / case.severity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Classification et sévérité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case.open_date / case.close_date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Dates d'ouverture et de clôture (rendues brutes, sans strftime)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case.description / case.tags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Description et étiquettes du dossier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timeline_events[].event_date / event_title / event_content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Chronologie de l'incident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notes[].title / content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Notes d'analyse (content HTML → striptags)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iocs[].ioc_type / ioc_value / ioc_description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Indicateurs (lus depuis iocs, jamais via ioc_link)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assets[].asset_name / asset_type / asset_ip / asset_compromise_status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Actifs impactés et état de compromission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tasks[].task_title / task_status / task_assignee / task_description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Actions de remédiation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10151F"/>
              </w:rPr>
              <w:t xml:space="preserve">evidences[].filename / file_description / file_hash</w:t>
            </w:r>
          </w:p>
        </w:tc>
        <w:tc>
          <w:tcPr>
            <w:tcW w:w="5754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3A4353"/>
              </w:rPr>
              <w:t xml:space="preserve">Preuves collectées</w:t>
            </w:r>
          </w:p>
        </w:tc>
      </w:tr>
    </w:tbl>
    <w:p>
      <w:pPr>
        <w:spacing w:after="40"/>
      </w:pPr>
      <w:r>
        <w:rPr>
          <w:i/>
          <w:color w:val="6B7688"/>
        </w:rPr>
        <w:t xml:space="preserve">Notes d'implémentation : les contenus HTML des notes sont convertis en texte via le filtre Jinja « striptags » ; pour conserver la mise en forme riche, prévoir une conversion HTML→docx en amont. Les dates sont rendues telles quelles pour tolérer les types datetime ou str.</w:t>
      </w:r>
    </w:p>
    <w:sectPr>
      <w:headerReference w:type="default" r:id="rId5"/>
      <w:footerReference w:type="default" r:id="rId6"/>
      <w:pgSz w:w="11906" w:h="16838"/>
      <w:pgMar w:top="1440" w:right="1276" w:bottom="1440" w:left="1276" w:header="680" w:footer="680" w:gutter="0"/>
      <w:pgNumType w:start="1"/>
    </w:sectPr>
  </w:body>
</w:document>
</file>

<file path=word/footer1.xml><?xml version="1.0" encoding="utf-8"?>
<w:ftr xmlns:w="http://schemas.openxmlformats.org/wordprocessingml/2006/main">
  <w:p>
    <w:pPr>
      <w:pStyle w:val="Footer"/>
    </w:pP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77"/>
        <w:tab w:val="right" w:pos="9354"/>
      </w:tabs>
      <w:pBdr>
        <w:top w:val="single" w:sz="4" w:space="2" w:color="D9DEE6"/>
      </w:pBdr>
    </w:pPr>
    <w:r>
      <w:t xml:space="preserve">{{ case.name | default('AURA·SOC', true) }}</w:t>
    </w:r>
    <w:r>
      <w:tab/>
    </w:r>
    <w:r>
      <w:t>CONFIDENTIEL — Diffusion restreinte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header2.xml><?xml version="1.0" encoding="utf-8"?>
<w:hdr xmlns:w="http://schemas.openxmlformats.org/wordprocessingml/2006/main">
  <w:p>
    <w:pPr>
      <w:pStyle w:val="Header"/>
      <w:tabs>
        <w:tab w:val="right" w:pos="9354"/>
      </w:tabs>
      <w:pBdr>
        <w:bottom w:val="single" w:sz="4" w:space="2" w:color="D9DEE6"/>
      </w:pBdr>
    </w:pPr>
    <w:r>
      <w:rPr>
        <w:b/>
        <w:color w:val="10151F"/>
      </w:rPr>
      <w:t>AURA</w:t>
    </w:r>
    <w:r>
      <w:rPr>
        <w:b/>
        <w:color w:val="FF2D3D"/>
      </w:rPr>
      <w:t xml:space="preserve"> · </w:t>
    </w:r>
    <w:r>
      <w:rPr>
        <w:b/>
        <w:color w:val="10151F"/>
      </w:rPr>
      <w:t>SOC</w:t>
    </w:r>
    <w:r>
      <w:rPr>
        <w:color w:val="6B7688"/>
      </w:rPr>
      <w:t xml:space="preserve">   Rapport d'investigation d'incident</w:t>
    </w:r>
    <w:r>
      <w:tab/>
    </w:r>
    <w:r>
      <w:rPr>
        <w:b/>
        <w:color w:val="FF2D3D"/>
      </w:rPr>
      <w:t>CONFIDENTIEL</w:t>
    </w:r>
  </w:p>
</w:hdr>
</file>

<file path=word/settings.xml><?xml version="1.0" encoding="utf-8"?>
<w:settings xmlns:w="http://schemas.openxmlformats.org/wordprocessingml/2006/main">
  <w:updateFields w:val="true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fr-F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  <w:pBdr>
        <w:bottom w:val="single" w:sz="18" w:space="4" w:color="FF2D3D"/>
      </w:pBdr>
    </w:pPr>
    <w:rPr>
      <w:rFonts w:ascii="Segoe UI" w:hAnsi="Segoe UI"/>
      <w:b/>
      <w:color w:val="10151F"/>
      <w:sz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Segoe UI" w:hAnsi="Segoe UI"/>
      <w:b/>
      <w:color w:val="10151F"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rFonts w:ascii="Segoe UI" w:hAnsi="Segoe UI"/>
      <w:b/>
      <w:color w:val="3A4353"/>
      <w:sz w:val="23"/>
    </w:rPr>
  </w:style>
  <w:style w:type="paragraph" w:styleId="Title">
    <w:name w:val="Title"/>
    <w:basedOn w:val="Normal"/>
    <w:next w:val="Normal"/>
    <w:qFormat/>
    <w:pPr>
      <w:spacing w:before="80" w:after="80"/>
    </w:pPr>
    <w:rPr>
      <w:rFonts w:ascii="Segoe UI" w:hAnsi="Segoe UI"/>
      <w:b/>
      <w:color w:val="10151F"/>
      <w:sz w:val="52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TOC1">
    <w:name w:val="toc 1"/>
    <w:basedOn w:val="Normal"/>
    <w:pPr>
      <w:tabs>
        <w:tab w:val="right" w:leader="dot" w:pos="9354"/>
      </w:tabs>
      <w:spacing w:before="120" w:after="60"/>
    </w:pPr>
    <w:rPr>
      <w:b/>
      <w:color w:val="10151F"/>
    </w:rPr>
  </w:style>
  <w:style w:type="paragraph" w:styleId="TOC2">
    <w:name w:val="toc 2"/>
    <w:basedOn w:val="Normal"/>
    <w:pPr>
      <w:tabs>
        <w:tab w:val="right" w:leader="dot" w:pos="9354"/>
      </w:tabs>
      <w:spacing w:after="40"/>
      <w:ind w:left="360"/>
    </w:pPr>
  </w:style>
  <w:style w:type="paragraph" w:styleId="TOC3">
    <w:name w:val="toc 3"/>
    <w:basedOn w:val="Normal"/>
    <w:pPr>
      <w:tabs>
        <w:tab w:val="right" w:leader="dot" w:pos="9354"/>
      </w:tabs>
      <w:spacing w:after="40"/>
      <w:ind w:left="720"/>
    </w:pPr>
  </w:style>
  <w:style w:type="paragraph" w:styleId="Header">
    <w:name w:val="header"/>
    <w:basedOn w:val="Normal"/>
    <w:pPr>
      <w:spacing w:after="0"/>
    </w:pPr>
    <w:rPr>
      <w:color w:val="6B7688"/>
      <w:sz w:val="16"/>
    </w:rPr>
  </w:style>
  <w:style w:type="paragraph" w:styleId="Footer">
    <w:name w:val="footer"/>
    <w:basedOn w:val="Normal"/>
    <w:pPr>
      <w:spacing w:after="0"/>
    </w:pPr>
    <w:rPr>
      <w:color w:val="6B7688"/>
      <w:sz w:val="16"/>
    </w:rPr>
  </w:style>
  <w:style w:type="character" w:styleId="Hyperlink">
    <w:name w:val="Hyperlink"/>
    <w:rPr>
      <w:color w:val="FF2D3D"/>
      <w:u w:val="single"/>
    </w:rPr>
  </w:style>
  <w:style w:type="table" w:default="1" w:styleId="TableNormal">
    <w:name w:val="Normal Table"/>
    <w:tblPr>
      <w:tblCellMar>
        <w:top w:w="40" w:type="dxa"/>
        <w:left w:w="108" w:type="dxa"/>
        <w:bottom w:w="4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mark.png"/></Relationships>
</file>

<file path=docProps/app.xml><?xml version="1.0" encoding="utf-8"?>
<Properties xmlns="http://schemas.openxmlformats.org/officeDocument/2006/extended-properties">
  <Application>AURA·SOC DFIR Template</Application>
  <Company>AURA·SOC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d'investigation d'incident — AURA·SOC</dc:title>
  <dc:creator>AURA·SOC</dc:creator>
  <cp:lastModifiedBy>AURA·SOC</cp:lastModifiedBy>
  <dc:language>fr-FR</dc:language>
</cp:coreProperties>
</file>