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Test results</w:t>
      </w:r>
    </w:p>
    <w:p>
      <w:r>
        <w:t>The result table mentions only the worst cases. For the details see complete tables in the measurements and curves.</w:t>
      </w:r>
    </w:p>
    <w:p>
      <w:pPr>
        <w:pStyle w:val="Heading1"/>
      </w:pPr>
      <w:r>
        <w:t>Sample n°CRE2-2025-TP002-01</w:t>
      </w:r>
    </w:p>
    <w:p>
      <w:pPr>
        <w:pStyle w:val="Heading2"/>
      </w:pPr>
      <w:r>
        <w:t>Configuration ER_In front of harness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239.000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514.500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244.250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244.500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1.26775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1.26775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26.639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pPr>
        <w:pStyle w:val="Heading2"/>
      </w:pPr>
      <w:r>
        <w:t>Configuration ER_In front of DUT RBW 9kHz_GNSS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1175.910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432.020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174.660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174.900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432.560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174.240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99.510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ElieTshingombe | 2025-09-24 23:05:31 | 58d3edc8542d971a030e3949982bf770cd302394668ee9c9e7ed50b789cec70d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