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n°CRE2-2025-TP002-03</w:t>
      </w:r>
    </w:p>
    <w:p>
      <w:pPr>
        <w:pStyle w:val="Heading2"/>
      </w:pPr>
      <w:r>
        <w:t>Configuration ER_In front of harness RBW 9kHz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1.16200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1.16200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27.267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1.16200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27.262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1.19125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-25.71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69.71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27.348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-21.83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49.83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2025-09-09 03:34:16 | 288a74a9c75aaed080d6070c9a2989c2021ea0ed616d94bce3e7ed370a903ed4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