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Courier New" w:cs="Courier New" w:eastAsia="Courier New" w:hAnsi="Courier New"/>
          <w:color w:val="555577"/>
          <w:sz w:val="17"/>
          <w:szCs w:val="17"/>
        </w:rPr>
        <w:t xml:space="preserve">PART F · ARCHITECTURE &amp; SYSTEM DESIGN</w:t>
      </w:r>
    </w:p>
    <w:p>
      <w:pPr>
        <w:spacing w:after="80" w:before="0"/>
      </w:pPr>
      <w:r>
        <w:rPr>
          <w:rFonts w:ascii="Georgia" w:cs="Georgia" w:eastAsia="Georgia" w:hAnsi="Georgia"/>
          <w:b w:val="false"/>
          <w:bCs w:val="false"/>
          <w:color w:val="1A1A2E"/>
          <w:sz w:val="52"/>
          <w:szCs w:val="52"/>
        </w:rPr>
        <w:t xml:space="preserve">Academic City RAG System Architecture</w:t>
      </w:r>
    </w:p>
    <w:p>
      <w:pPr>
        <w:spacing w:after="60" w:before="0"/>
      </w:pPr>
      <w:r>
        <w:rPr>
          <w:rFonts w:ascii="Calibri" w:cs="Calibri" w:eastAsia="Calibri" w:hAnsi="Calibri"/>
          <w:color w:val="555577"/>
          <w:sz w:val="20"/>
          <w:szCs w:val="20"/>
        </w:rPr>
        <w:t xml:space="preserve">Ghana 2025 Budget Statement + Presidential Election Results — end-to-end retrieval-augmented generation over heterogeneous civic data sources.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Borders>
              <w:top w:val="single" w:color="CCCCDD" w:sz="4"/>
              <w:left w:val="none" w:color="FFFFFF" w:sz="0"/>
              <w:bottom w:val="single" w:color="CCCCDD" w:sz="4"/>
              <w:right w:val="none" w:color="FFFFFF" w:sz="0"/>
            </w:tcBorders>
            <w:shd w:fill="F5F5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55577"/>
                <w:sz w:val="17"/>
                <w:szCs w:val="17"/>
              </w:rPr>
              <w:t xml:space="preserve">Eliezer Anim-Somuah  ·  Index 10012300041  ·  Model: llama3 via Ollama  ·  Embedder: all-MiniLM-L6-v2  ·  Index: FAISS IndexFlatIP</w:t>
            </w:r>
          </w:p>
        </w:tc>
      </w:tr>
    </w:tbl>
    <w:p>
      <w:pPr>
        <w:spacing w:after="0" w:before="240"/>
      </w:pPr>
    </w:p>
    <w:p>
      <w:pPr>
        <w:pBdr>
          <w:bottom w:val="single" w:color="DDDDDD" w:sz="4" w:space="4"/>
        </w:pBdr>
        <w:spacing w:after="120" w:before="320"/>
      </w:pPr>
      <w:r>
        <w:rPr>
          <w:rFonts w:ascii="Courier New" w:cs="Courier New" w:eastAsia="Courier New" w:hAnsi="Courier New"/>
          <w:b w:val="false"/>
          <w:bCs w:val="false"/>
          <w:color w:val="555577"/>
          <w:sz w:val="16"/>
          <w:szCs w:val="16"/>
        </w:rPr>
        <w:t xml:space="preserve">SYSTEM PHASES — PIPELINE DIAGRAM</w:t>
      </w:r>
    </w:p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Borders>
              <w:top w:val="single" w:color="2D6BB8" w:sz="4"/>
              <w:left w:val="single" w:color="2D6BB8" w:sz="4"/>
              <w:bottom w:val="single" w:color="2D6BB8" w:sz="4"/>
              <w:right w:val="single" w:color="2D6BB8" w:sz="4"/>
            </w:tcBorders>
            <w:shd w:fill="EBF4FC" w:val="clear"/>
            <w:tcMar>
              <w:top w:type="dxa" w:w="60"/>
              <w:left w:type="dxa" w:w="160"/>
              <w:bottom w:type="dxa" w:w="80"/>
              <w:right w:type="dxa" w:w="160"/>
            </w:tcMar>
          </w:tcPr>
          <w:p>
            <w:pPr>
              <w:spacing w:after="100" w:before="0"/>
            </w:pPr>
            <w:r>
              <w:rPr>
                <w:rFonts w:ascii="Courier New" w:cs="Courier New" w:eastAsia="Courier New" w:hAnsi="Courier New"/>
                <w:b/>
                <w:bCs/>
                <w:color w:val="0D3F7A"/>
                <w:sz w:val="17"/>
                <w:szCs w:val="17"/>
              </w:rPr>
              <w:t xml:space="preserve">OFFLINE PHASE — Index build (run once)</w:t>
            </w:r>
          </w:p>
          <w:tbl>
            <w:tblPr>
              <w:tblW w:type="dxa" w:w="104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00"/>
              <w:gridCol w:w="400"/>
              <w:gridCol w:w="1500"/>
              <w:gridCol w:w="400"/>
              <w:gridCol w:w="1500"/>
              <w:gridCol w:w="400"/>
              <w:gridCol w:w="1500"/>
              <w:gridCol w:w="400"/>
              <w:gridCol w:w="1500"/>
              <w:gridCol w:w="400"/>
              <w:gridCol w:w="1500"/>
            </w:tblGrid>
            <w:tr>
              <w:tc>
                <w:tcPr>
                  <w:tcW w:type="dxa" w:w="1200"/>
                  <w:tcBorders>
                    <w:top w:val="single" w:color="BBBBBB" w:sz="4"/>
                    <w:left w:val="single" w:color="BBBBBB" w:sz="4"/>
                    <w:bottom w:val="single" w:color="BBBBBB" w:sz="4"/>
                    <w:right w:val="single" w:color="BBBBBB" w:sz="4"/>
                  </w:tcBorders>
                  <w:shd w:fill="F2F2F2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A1A2E"/>
                      <w:sz w:val="18"/>
                      <w:szCs w:val="18"/>
                    </w:rPr>
                    <w:t xml:space="preserve">Raw sources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rFonts w:ascii="Courier New" w:cs="Courier New" w:eastAsia="Courier New" w:hAnsi="Courier New"/>
                      <w:b w:val="false"/>
                      <w:bCs w:val="false"/>
                      <w:color w:val="1A1A2E"/>
                      <w:sz w:val="16"/>
                      <w:szCs w:val="16"/>
                    </w:rPr>
                    <w:t xml:space="preserve">PDF + CSV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FFFFF" w:val="clear"/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999999"/>
                      <w:sz w:val="22"/>
                      <w:szCs w:val="22"/>
                    </w:rPr>
                    <w:t xml:space="preserve">→</w:t>
                  </w:r>
                </w:p>
              </w:tc>
              <w:tc>
                <w:tcPr>
                  <w:tcW w:type="dxa" w:w="1500"/>
                  <w:tcBorders>
                    <w:top w:val="single" w:color="2D6BB8" w:sz="4"/>
                    <w:left w:val="single" w:color="2D6BB8" w:sz="4"/>
                    <w:bottom w:val="single" w:color="2D6BB8" w:sz="4"/>
                    <w:right w:val="single" w:color="2D6BB8" w:sz="4"/>
                  </w:tcBorders>
                  <w:shd w:fill="D6E8F8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D3F7A"/>
                      <w:sz w:val="18"/>
                      <w:szCs w:val="18"/>
                    </w:rPr>
                    <w:t xml:space="preserve">Part A · Clean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rFonts w:ascii="Courier New" w:cs="Courier New" w:eastAsia="Courier New" w:hAnsi="Courier New"/>
                      <w:b w:val="false"/>
                      <w:bCs w:val="false"/>
                      <w:color w:val="0D3F7A"/>
                      <w:sz w:val="16"/>
                      <w:szCs w:val="16"/>
                    </w:rPr>
                    <w:t xml:space="preserve">extract_and_clean_budget_pdf
load_and_clean_election_csv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FFFFF" w:val="clear"/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999999"/>
                      <w:sz w:val="22"/>
                      <w:szCs w:val="22"/>
                    </w:rPr>
                    <w:t xml:space="preserve">→</w:t>
                  </w:r>
                </w:p>
              </w:tc>
              <w:tc>
                <w:tcPr>
                  <w:tcW w:type="dxa" w:w="1500"/>
                  <w:tcBorders>
                    <w:top w:val="single" w:color="2D6BB8" w:sz="4"/>
                    <w:left w:val="single" w:color="2D6BB8" w:sz="4"/>
                    <w:bottom w:val="single" w:color="2D6BB8" w:sz="4"/>
                    <w:right w:val="single" w:color="2D6BB8" w:sz="4"/>
                  </w:tcBorders>
                  <w:shd w:fill="D6E8F8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D3F7A"/>
                      <w:sz w:val="18"/>
                      <w:szCs w:val="18"/>
                    </w:rPr>
                    <w:t xml:space="preserve">Part A · Chunk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rFonts w:ascii="Courier New" w:cs="Courier New" w:eastAsia="Courier New" w:hAnsi="Courier New"/>
                      <w:b w:val="false"/>
                      <w:bCs w:val="false"/>
                      <w:color w:val="0D3F7A"/>
                      <w:sz w:val="16"/>
                      <w:szCs w:val="16"/>
                    </w:rPr>
                    <w:t xml:space="preserve">chunk_paragraph_packed
(3 strategies compared)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FFFFF" w:val="clear"/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999999"/>
                      <w:sz w:val="22"/>
                      <w:szCs w:val="22"/>
                    </w:rPr>
                    <w:t xml:space="preserve">→</w:t>
                  </w:r>
                </w:p>
              </w:tc>
              <w:tc>
                <w:tcPr>
                  <w:tcW w:type="dxa" w:w="1500"/>
                  <w:tcBorders>
                    <w:top w:val="single" w:color="2D6BB8" w:sz="4"/>
                    <w:left w:val="single" w:color="2D6BB8" w:sz="4"/>
                    <w:bottom w:val="single" w:color="2D6BB8" w:sz="4"/>
                    <w:right w:val="single" w:color="2D6BB8" w:sz="4"/>
                  </w:tcBorders>
                  <w:shd w:fill="D6E8F8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D3F7A"/>
                      <w:sz w:val="18"/>
                      <w:szCs w:val="18"/>
                    </w:rPr>
                    <w:t xml:space="preserve">Part B · Embed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rFonts w:ascii="Courier New" w:cs="Courier New" w:eastAsia="Courier New" w:hAnsi="Courier New"/>
                      <w:b w:val="false"/>
                      <w:bCs w:val="false"/>
                      <w:color w:val="0D3F7A"/>
                      <w:sz w:val="16"/>
                      <w:szCs w:val="16"/>
                    </w:rPr>
                    <w:t xml:space="preserve">EmbeddingPipeline
MiniLM-L6-v2 384-dim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FFFFF" w:val="clear"/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999999"/>
                      <w:sz w:val="22"/>
                      <w:szCs w:val="22"/>
                    </w:rPr>
                    <w:t xml:space="preserve">→</w:t>
                  </w:r>
                </w:p>
              </w:tc>
              <w:tc>
                <w:tcPr>
                  <w:tcW w:type="dxa" w:w="1500"/>
                  <w:tcBorders>
                    <w:top w:val="single" w:color="2D6BB8" w:sz="4"/>
                    <w:left w:val="single" w:color="2D6BB8" w:sz="4"/>
                    <w:bottom w:val="single" w:color="2D6BB8" w:sz="4"/>
                    <w:right w:val="single" w:color="2D6BB8" w:sz="4"/>
                  </w:tcBorders>
                  <w:shd w:fill="D6E8F8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D3F7A"/>
                      <w:sz w:val="18"/>
                      <w:szCs w:val="18"/>
                    </w:rPr>
                    <w:t xml:space="preserve">Part B · Index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rFonts w:ascii="Courier New" w:cs="Courier New" w:eastAsia="Courier New" w:hAnsi="Courier New"/>
                      <w:b w:val="false"/>
                      <w:bCs w:val="false"/>
                      <w:color w:val="0D3F7A"/>
                      <w:sz w:val="16"/>
                      <w:szCs w:val="16"/>
                    </w:rPr>
                    <w:t xml:space="preserve">FaissVectorStore
KeywordIndex (TF-IDF)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FFFFF" w:val="clear"/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999999"/>
                      <w:sz w:val="22"/>
                      <w:szCs w:val="22"/>
                    </w:rPr>
                    <w:t xml:space="preserve">→</w:t>
                  </w:r>
                </w:p>
              </w:tc>
              <w:tc>
                <w:tcPr>
                  <w:tcW w:type="dxa" w:w="1500"/>
                  <w:tcBorders>
                    <w:top w:val="single" w:color="2A6A2A" w:sz="4"/>
                    <w:left w:val="single" w:color="2A6A2A" w:sz="4"/>
                    <w:bottom w:val="single" w:color="2A6A2A" w:sz="4"/>
                    <w:right w:val="single" w:color="2A6A2A" w:sz="4"/>
                  </w:tcBorders>
                  <w:shd w:fill="D8EDDA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A4A1A"/>
                      <w:sz w:val="18"/>
                      <w:szCs w:val="18"/>
                    </w:rPr>
                    <w:t xml:space="preserve">Index bundle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rFonts w:ascii="Courier New" w:cs="Courier New" w:eastAsia="Courier New" w:hAnsi="Courier New"/>
                      <w:b w:val="false"/>
                      <w:bCs w:val="false"/>
                      <w:color w:val="1A4A1A"/>
                      <w:sz w:val="16"/>
                      <w:szCs w:val="16"/>
                    </w:rPr>
                    <w:t xml:space="preserve">outputs/part_b/
faiss.index · chunks.pkl</w:t>
                  </w:r>
                </w:p>
              </w:tc>
            </w:tr>
          </w:tbl>
          <w:p/>
        </w:tc>
      </w:tr>
    </w:tbl>
    <w:p>
      <w:pPr>
        <w:spacing w:after="8" w:before="8"/>
      </w:pPr>
      <w:r>
        <w:rPr>
          <w:rFonts w:ascii="Courier New" w:cs="Courier New" w:eastAsia="Courier New" w:hAnsi="Courier New"/>
          <w:color w:val="AAAAAA"/>
          <w:sz w:val="17"/>
          <w:szCs w:val="17"/>
        </w:rPr>
        <w:t xml:space="preserve">          ↓  index loaded at RAGPipeline startup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Borders>
              <w:top w:val="single" w:color="1E7A6E" w:sz="4"/>
              <w:left w:val="single" w:color="1E7A6E" w:sz="4"/>
              <w:bottom w:val="single" w:color="1E7A6E" w:sz="4"/>
              <w:right w:val="single" w:color="1E7A6E" w:sz="4"/>
            </w:tcBorders>
            <w:shd w:fill="EBF8F6" w:val="clear"/>
            <w:tcMar>
              <w:top w:type="dxa" w:w="60"/>
              <w:left w:type="dxa" w:w="160"/>
              <w:bottom w:type="dxa" w:w="80"/>
              <w:right w:type="dxa" w:w="160"/>
            </w:tcMar>
          </w:tcPr>
          <w:p>
            <w:pPr>
              <w:spacing w:after="100" w:before="0"/>
            </w:pPr>
            <w:r>
              <w:rPr>
                <w:rFonts w:ascii="Courier New" w:cs="Courier New" w:eastAsia="Courier New" w:hAnsi="Courier New"/>
                <w:b/>
                <w:bCs/>
                <w:color w:val="0A4A44"/>
                <w:sz w:val="17"/>
                <w:szCs w:val="17"/>
              </w:rPr>
              <w:t xml:space="preserve">ONLINE PHASE — Query answering (every request)</w:t>
            </w:r>
          </w:p>
          <w:tbl>
            <w:tblPr>
              <w:tblW w:type="dxa" w:w="104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00"/>
              <w:gridCol w:w="400"/>
              <w:gridCol w:w="1700"/>
              <w:gridCol w:w="400"/>
              <w:gridCol w:w="1700"/>
              <w:gridCol w:w="400"/>
              <w:gridCol w:w="1700"/>
              <w:gridCol w:w="400"/>
              <w:gridCol w:w="2900"/>
            </w:tblGrid>
            <w:tr>
              <w:tc>
                <w:tcPr>
                  <w:tcW w:type="dxa" w:w="1100"/>
                  <w:tcBorders>
                    <w:top w:val="single" w:color="BBBBBB" w:sz="4"/>
                    <w:left w:val="single" w:color="BBBBBB" w:sz="4"/>
                    <w:bottom w:val="single" w:color="BBBBBB" w:sz="4"/>
                    <w:right w:val="single" w:color="BBBBBB" w:sz="4"/>
                  </w:tcBorders>
                  <w:shd w:fill="F2F2F2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A1A2E"/>
                      <w:sz w:val="18"/>
                      <w:szCs w:val="18"/>
                    </w:rPr>
                    <w:t xml:space="preserve">User query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rFonts w:ascii="Courier New" w:cs="Courier New" w:eastAsia="Courier New" w:hAnsi="Courier New"/>
                      <w:b w:val="false"/>
                      <w:bCs w:val="false"/>
                      <w:color w:val="1A1A2E"/>
                      <w:sz w:val="16"/>
                      <w:szCs w:val="16"/>
                    </w:rPr>
                    <w:t xml:space="preserve">Streamlit input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FFFFF" w:val="clear"/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  <w:vAlign w:val="center"/>
                </w:tcPr>
                <w:p>
                  <w:pPr>
                    <w:spacing w:after="2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999999"/>
                      <w:sz w:val="22"/>
                      <w:szCs w:val="22"/>
                    </w:rPr>
                    <w:t xml:space="preserve">→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rFonts w:ascii="Courier New" w:cs="Courier New" w:eastAsia="Courier New" w:hAnsi="Courier New"/>
                      <w:color w:val="AAAAAA"/>
                      <w:sz w:val="14"/>
                      <w:szCs w:val="14"/>
                    </w:rPr>
                    <w:t xml:space="preserve">encode</w:t>
                  </w:r>
                </w:p>
              </w:tc>
              <w:tc>
                <w:tcPr>
                  <w:tcW w:type="dxa" w:w="1700"/>
                  <w:tcBorders>
                    <w:top w:val="single" w:color="2D6BB8" w:sz="4"/>
                    <w:left w:val="single" w:color="2D6BB8" w:sz="4"/>
                    <w:bottom w:val="single" w:color="2D6BB8" w:sz="4"/>
                    <w:right w:val="single" w:color="2D6BB8" w:sz="4"/>
                  </w:tcBorders>
                  <w:shd w:fill="D6E8F8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D3F7A"/>
                      <w:sz w:val="18"/>
                      <w:szCs w:val="18"/>
                    </w:rPr>
                    <w:t xml:space="preserve">HybridRetriever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rFonts w:ascii="Courier New" w:cs="Courier New" w:eastAsia="Courier New" w:hAnsi="Courier New"/>
                      <w:b w:val="false"/>
                      <w:bCs w:val="false"/>
                      <w:color w:val="0D3F7A"/>
                      <w:sz w:val="16"/>
                      <w:szCs w:val="16"/>
                    </w:rPr>
                    <w:t xml:space="preserve">retrieve_hybrid_rrf
dense + TF-IDF + RRF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FFFFF" w:val="clear"/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  <w:vAlign w:val="center"/>
                </w:tcPr>
                <w:p>
                  <w:pPr>
                    <w:spacing w:after="2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999999"/>
                      <w:sz w:val="22"/>
                      <w:szCs w:val="22"/>
                    </w:rPr>
                    <w:t xml:space="preserve">→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rFonts w:ascii="Courier New" w:cs="Courier New" w:eastAsia="Courier New" w:hAnsi="Courier New"/>
                      <w:color w:val="AAAAAA"/>
                      <w:sz w:val="14"/>
                      <w:szCs w:val="14"/>
                    </w:rPr>
                    <w:t xml:space="preserve">pool</w:t>
                  </w:r>
                </w:p>
              </w:tc>
              <w:tc>
                <w:tcPr>
                  <w:tcW w:type="dxa" w:w="1700"/>
                  <w:tcBorders>
                    <w:top w:val="single" w:color="5B4DB0" w:sz="4"/>
                    <w:left w:val="single" w:color="5B4DB0" w:sz="4"/>
                    <w:bottom w:val="single" w:color="5B4DB0" w:sz="4"/>
                    <w:right w:val="single" w:color="5B4DB0" w:sz="4"/>
                  </w:tcBorders>
                  <w:shd w:fill="E8E4FA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A2880"/>
                      <w:sz w:val="18"/>
                      <w:szCs w:val="18"/>
                    </w:rPr>
                    <w:t xml:space="preserve">Part G · Feedback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rFonts w:ascii="Courier New" w:cs="Courier New" w:eastAsia="Courier New" w:hAnsi="Courier New"/>
                      <w:b w:val="false"/>
                      <w:bCs w:val="false"/>
                      <w:color w:val="3A2880"/>
                      <w:sz w:val="16"/>
                      <w:szCs w:val="16"/>
                    </w:rPr>
                    <w:t xml:space="preserve">apply_feedback_rerank
[optional]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FFFFF" w:val="clear"/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  <w:vAlign w:val="center"/>
                </w:tcPr>
                <w:p>
                  <w:pPr>
                    <w:spacing w:after="2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999999"/>
                      <w:sz w:val="22"/>
                      <w:szCs w:val="22"/>
                    </w:rPr>
                    <w:t xml:space="preserve">→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rFonts w:ascii="Courier New" w:cs="Courier New" w:eastAsia="Courier New" w:hAnsi="Courier New"/>
                      <w:color w:val="AAAAAA"/>
                      <w:sz w:val="14"/>
                      <w:szCs w:val="14"/>
                    </w:rPr>
                    <w:t xml:space="preserve">re-score</w:t>
                  </w:r>
                </w:p>
              </w:tc>
              <w:tc>
                <w:tcPr>
                  <w:tcW w:type="dxa" w:w="1700"/>
                  <w:tcBorders>
                    <w:top w:val="single" w:color="8A3820" w:sz="4"/>
                    <w:left w:val="single" w:color="8A3820" w:sz="4"/>
                    <w:bottom w:val="single" w:color="8A3820" w:sz="4"/>
                    <w:right w:val="single" w:color="8A3820" w:sz="4"/>
                  </w:tcBorders>
                  <w:shd w:fill="FAE0D8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6A2010"/>
                      <w:sz w:val="18"/>
                      <w:szCs w:val="18"/>
                    </w:rPr>
                    <w:t xml:space="preserve">Cross-encoder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rFonts w:ascii="Courier New" w:cs="Courier New" w:eastAsia="Courier New" w:hAnsi="Courier New"/>
                      <w:b w:val="false"/>
                      <w:bCs w:val="false"/>
                      <w:color w:val="6A2010"/>
                      <w:sz w:val="16"/>
                      <w:szCs w:val="16"/>
                    </w:rPr>
                    <w:t xml:space="preserve">cross_encoder_rerank
[optional]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FFFFF" w:val="clear"/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999999"/>
                      <w:sz w:val="22"/>
                      <w:szCs w:val="22"/>
                    </w:rPr>
                    <w:t xml:space="preserve">→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BF8F6" w:val="clear"/>
                </w:tcPr>
                <w:p/>
              </w:tc>
            </w:tr>
          </w:tbl>
          <w:p>
            <w:pPr>
              <w:spacing w:after="0" w:before="60"/>
            </w:pPr>
          </w:p>
          <w:tbl>
            <w:tblPr>
              <w:tblW w:type="dxa" w:w="104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900"/>
              <w:gridCol w:w="400"/>
              <w:gridCol w:w="1700"/>
              <w:gridCol w:w="400"/>
              <w:gridCol w:w="1700"/>
              <w:gridCol w:w="400"/>
              <w:gridCol w:w="1700"/>
              <w:gridCol w:w="400"/>
              <w:gridCol w:w="1100"/>
            </w:tblGrid>
            <w:tr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BF8F6" w:val="clear"/>
                </w:tcPr>
                <w:p/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BF8F6" w:val="clear"/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999999"/>
                      <w:sz w:val="22"/>
                      <w:szCs w:val="22"/>
                    </w:rPr>
                    <w:t xml:space="preserve">←</w:t>
                  </w:r>
                </w:p>
              </w:tc>
              <w:tc>
                <w:tcPr>
                  <w:tcW w:type="dxa" w:w="1700"/>
                  <w:tcBorders>
                    <w:top w:val="single" w:color="1E7A6E" w:sz="4"/>
                    <w:left w:val="single" w:color="1E7A6E" w:sz="4"/>
                    <w:bottom w:val="single" w:color="1E7A6E" w:sz="4"/>
                    <w:right w:val="single" w:color="1E7A6E" w:sz="4"/>
                  </w:tcBorders>
                  <w:shd w:fill="D4F0EC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A4A44"/>
                      <w:sz w:val="18"/>
                      <w:szCs w:val="18"/>
                    </w:rPr>
                    <w:t xml:space="preserve">pack_context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rFonts w:ascii="Courier New" w:cs="Courier New" w:eastAsia="Courier New" w:hAnsi="Courier New"/>
                      <w:b w:val="false"/>
                      <w:bCs w:val="false"/>
                      <w:color w:val="0A4A44"/>
                      <w:sz w:val="16"/>
                      <w:szCs w:val="16"/>
                    </w:rPr>
                    <w:t xml:space="preserve">pack_context_for_prompt
≤4500 chars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BF8F6" w:val="clear"/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999999"/>
                      <w:sz w:val="22"/>
                      <w:szCs w:val="22"/>
                    </w:rPr>
                    <w:t xml:space="preserve">←</w:t>
                  </w:r>
                </w:p>
              </w:tc>
              <w:tc>
                <w:tcPr>
                  <w:tcW w:type="dxa" w:w="1700"/>
                  <w:tcBorders>
                    <w:top w:val="single" w:color="1E7A6E" w:sz="4"/>
                    <w:left w:val="single" w:color="1E7A6E" w:sz="4"/>
                    <w:bottom w:val="single" w:color="1E7A6E" w:sz="4"/>
                    <w:right w:val="single" w:color="1E7A6E" w:sz="4"/>
                  </w:tcBorders>
                  <w:shd w:fill="D4F0EC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A4A44"/>
                      <w:sz w:val="18"/>
                      <w:szCs w:val="18"/>
                    </w:rPr>
                    <w:t xml:space="preserve">render_prompt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rFonts w:ascii="Courier New" w:cs="Courier New" w:eastAsia="Courier New" w:hAnsi="Courier New"/>
                      <w:b w:val="false"/>
                      <w:bCs w:val="false"/>
                      <w:color w:val="0A4A44"/>
                      <w:sz w:val="16"/>
                      <w:szCs w:val="16"/>
                    </w:rPr>
                    <w:t xml:space="preserve">v2_grounded default
render_prompt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BF8F6" w:val="clear"/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999999"/>
                      <w:sz w:val="22"/>
                      <w:szCs w:val="22"/>
                    </w:rPr>
                    <w:t xml:space="preserve">←</w:t>
                  </w:r>
                </w:p>
              </w:tc>
              <w:tc>
                <w:tcPr>
                  <w:tcW w:type="dxa" w:w="1700"/>
                  <w:tcBorders>
                    <w:top w:val="single" w:color="1E7A6E" w:sz="4"/>
                    <w:left w:val="single" w:color="1E7A6E" w:sz="4"/>
                    <w:bottom w:val="single" w:color="1E7A6E" w:sz="4"/>
                    <w:right w:val="single" w:color="1E7A6E" w:sz="4"/>
                  </w:tcBorders>
                  <w:shd w:fill="D4F0EC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A4A44"/>
                      <w:sz w:val="18"/>
                      <w:szCs w:val="18"/>
                    </w:rPr>
                    <w:t xml:space="preserve">OllamaChatGenerator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rFonts w:ascii="Courier New" w:cs="Courier New" w:eastAsia="Courier New" w:hAnsi="Courier New"/>
                      <w:b w:val="false"/>
                      <w:bCs w:val="false"/>
                      <w:color w:val="0A4A44"/>
                      <w:sz w:val="16"/>
                      <w:szCs w:val="16"/>
                    </w:rPr>
                    <w:t xml:space="preserve">POST /api/chat
llama3 · max 512 tok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BF8F6" w:val="clear"/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999999"/>
                      <w:sz w:val="22"/>
                      <w:szCs w:val="22"/>
                    </w:rPr>
                    <w:t xml:space="preserve">←</w:t>
                  </w:r>
                </w:p>
              </w:tc>
              <w:tc>
                <w:tcPr>
                  <w:tcW w:type="dxa" w:w="1100"/>
                  <w:tcBorders>
                    <w:top w:val="single" w:color="8A5C10" w:sz="4"/>
                    <w:left w:val="single" w:color="8A5C10" w:sz="4"/>
                    <w:bottom w:val="single" w:color="8A5C10" w:sz="4"/>
                    <w:right w:val="single" w:color="8A5C10" w:sz="4"/>
                  </w:tcBorders>
                  <w:shd w:fill="FAF0D4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C3800"/>
                      <w:sz w:val="18"/>
                      <w:szCs w:val="18"/>
                    </w:rPr>
                    <w:t xml:space="preserve">Answer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rFonts w:ascii="Courier New" w:cs="Courier New" w:eastAsia="Courier New" w:hAnsi="Courier New"/>
                      <w:b w:val="false"/>
                      <w:bCs w:val="false"/>
                      <w:color w:val="5C3800"/>
                      <w:sz w:val="16"/>
                      <w:szCs w:val="16"/>
                    </w:rPr>
                    <w:t xml:space="preserve">citations [n]
stage_timings_ms</w:t>
                  </w:r>
                </w:p>
              </w:tc>
            </w:tr>
          </w:tbl>
          <w:p/>
        </w:tc>
      </w:tr>
    </w:tbl>
    <w:p>
      <w:pPr>
        <w:spacing w:after="0" w:before="12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1200"/>
        <w:gridCol w:w="1600"/>
        <w:gridCol w:w="1200"/>
        <w:gridCol w:w="1600"/>
        <w:gridCol w:w="1200"/>
        <w:gridCol w:w="12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ourier New" w:cs="Courier New" w:eastAsia="Courier New" w:hAnsi="Courier New"/>
                <w:color w:val="555577"/>
                <w:sz w:val="17"/>
                <w:szCs w:val="17"/>
              </w:rPr>
              <w:t xml:space="preserve">Legend:</w:t>
            </w:r>
          </w:p>
        </w:tc>
        <w:tc>
          <w:tcPr>
            <w:tcBorders>
              <w:top w:val="single" w:color="2D6BB8" w:sz="4"/>
              <w:left w:val="single" w:color="2D6BB8" w:sz="4"/>
              <w:bottom w:val="single" w:color="2D6BB8" w:sz="4"/>
              <w:right w:val="single" w:color="2D6BB8" w:sz="4"/>
            </w:tcBorders>
            <w:shd w:fill="D6E8F8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0D3F7A"/>
                <w:sz w:val="16"/>
                <w:szCs w:val="16"/>
              </w:rPr>
              <w:t xml:space="preserve">Blue — Part A/B (data + retrieval)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Borders>
              <w:top w:val="single" w:color="5B4DB0" w:sz="4"/>
              <w:left w:val="single" w:color="5B4DB0" w:sz="4"/>
              <w:bottom w:val="single" w:color="5B4DB0" w:sz="4"/>
              <w:right w:val="single" w:color="5B4DB0" w:sz="4"/>
            </w:tcBorders>
            <w:shd w:fill="E8E4FA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A2880"/>
                <w:sz w:val="16"/>
                <w:szCs w:val="16"/>
              </w:rPr>
              <w:t xml:space="preserve">Purple — Part G (feedback)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Borders>
              <w:top w:val="single" w:color="1E7A6E" w:sz="4"/>
              <w:left w:val="single" w:color="1E7A6E" w:sz="4"/>
              <w:bottom w:val="single" w:color="1E7A6E" w:sz="4"/>
              <w:right w:val="single" w:color="1E7A6E" w:sz="4"/>
            </w:tcBorders>
            <w:shd w:fill="D4F0EC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0A4A44"/>
                <w:sz w:val="16"/>
                <w:szCs w:val="16"/>
              </w:rPr>
              <w:t xml:space="preserve">Teal — Part C (grounding/gen)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Borders>
              <w:top w:val="single" w:color="8A5C10" w:sz="4"/>
              <w:left w:val="single" w:color="8A5C10" w:sz="4"/>
              <w:bottom w:val="single" w:color="8A5C10" w:sz="4"/>
              <w:right w:val="single" w:color="8A5C10" w:sz="4"/>
            </w:tcBorders>
            <w:shd w:fill="FAF0D4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5C3800"/>
                <w:sz w:val="16"/>
                <w:szCs w:val="16"/>
              </w:rPr>
              <w:t xml:space="preserve">Amber — Answer output</w:t>
            </w:r>
          </w:p>
        </w:tc>
      </w:tr>
    </w:tbl>
    <w:p>
      <w:pPr>
        <w:spacing w:after="0" w:before="200"/>
      </w:pPr>
    </w:p>
    <w:p>
      <w:pPr>
        <w:pBdr>
          <w:bottom w:val="single" w:color="DDDDDD" w:sz="4" w:space="4"/>
        </w:pBdr>
        <w:spacing w:after="120" w:before="320"/>
      </w:pPr>
      <w:r>
        <w:rPr>
          <w:rFonts w:ascii="Courier New" w:cs="Courier New" w:eastAsia="Courier New" w:hAnsi="Courier New"/>
          <w:b w:val="false"/>
          <w:bCs w:val="false"/>
          <w:color w:val="555577"/>
          <w:sz w:val="16"/>
          <w:szCs w:val="16"/>
        </w:rPr>
        <w:t xml:space="preserve">STAGE-BY-STAGE DATA FLOW</w:t>
      </w:r>
    </w:p>
    <w:p>
      <w:pPr>
        <w:spacing w:after="0" w:before="80"/>
      </w:pPr>
    </w:p>
    <w:tbl>
      <w:tblPr>
        <w:tblW w:type="dxa" w:w="9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1440"/>
        <w:gridCol w:w="2400"/>
        <w:gridCol w:w="2880"/>
        <w:gridCol w:w="2040"/>
      </w:tblGrid>
      <w:tr>
        <w:trPr>
          <w:tblHeader/>
        </w:trPr>
        <w:tc>
          <w:tcPr>
            <w:tcW w:type="dxa" w:w="480"/>
            <w:tcBorders>
              <w:top w:val="single" w:color="444466" w:sz="4"/>
              <w:left w:val="single" w:color="444466" w:sz="4"/>
              <w:bottom w:val="single" w:color="444466" w:sz="4"/>
              <w:right w:val="single" w:color="444466" w:sz="4"/>
            </w:tcBorders>
            <w:shd w:fill="1E203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440"/>
            <w:tcBorders>
              <w:top w:val="single" w:color="444466" w:sz="4"/>
              <w:left w:val="single" w:color="444466" w:sz="4"/>
              <w:bottom w:val="single" w:color="444466" w:sz="4"/>
              <w:right w:val="single" w:color="444466" w:sz="4"/>
            </w:tcBorders>
            <w:shd w:fill="1E203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Stage</w:t>
            </w:r>
          </w:p>
        </w:tc>
        <w:tc>
          <w:tcPr>
            <w:tcW w:type="dxa" w:w="2400"/>
            <w:tcBorders>
              <w:top w:val="single" w:color="444466" w:sz="4"/>
              <w:left w:val="single" w:color="444466" w:sz="4"/>
              <w:bottom w:val="single" w:color="444466" w:sz="4"/>
              <w:right w:val="single" w:color="444466" w:sz="4"/>
            </w:tcBorders>
            <w:shd w:fill="1E203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2880"/>
            <w:tcBorders>
              <w:top w:val="single" w:color="444466" w:sz="4"/>
              <w:left w:val="single" w:color="444466" w:sz="4"/>
              <w:bottom w:val="single" w:color="444466" w:sz="4"/>
              <w:right w:val="single" w:color="444466" w:sz="4"/>
            </w:tcBorders>
            <w:shd w:fill="1E203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Output</w:t>
            </w:r>
          </w:p>
        </w:tc>
        <w:tc>
          <w:tcPr>
            <w:tcW w:type="dxa" w:w="2040"/>
            <w:tcBorders>
              <w:top w:val="single" w:color="444466" w:sz="4"/>
              <w:left w:val="single" w:color="444466" w:sz="4"/>
              <w:bottom w:val="single" w:color="444466" w:sz="4"/>
              <w:right w:val="single" w:color="444466" w:sz="4"/>
            </w:tcBorders>
            <w:shd w:fill="1E203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Module</w:t>
            </w:r>
          </w:p>
        </w:tc>
      </w:tr>
      <w:tr>
        <w:tc>
          <w:tcPr>
            <w:tcW w:type="dxa" w:w="48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01</w:t>
            </w:r>
          </w:p>
        </w:tc>
        <w:tc>
          <w:tcPr>
            <w:tcW w:type="dxa" w:w="144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Ingest &amp; clean</w:t>
            </w:r>
          </w:p>
        </w:tc>
        <w:tc>
          <w:tcPr>
            <w:tcW w:type="dxa" w:w="240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Raw PDF pages; CSV rows</w:t>
            </w:r>
          </w:p>
        </w:tc>
        <w:tc>
          <w:tcPr>
            <w:tcW w:type="dxa" w:w="288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cleaned_budget_text.txt · cleaned_election_rows.csv</w:t>
            </w:r>
          </w:p>
        </w:tc>
        <w:tc>
          <w:tcPr>
            <w:tcW w:type="dxa" w:w="204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555577"/>
                <w:sz w:val="17"/>
                <w:szCs w:val="17"/>
              </w:rPr>
              <w:t xml:space="preserve">extract_and_clean_budget_pdf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555577"/>
                <w:sz w:val="17"/>
                <w:szCs w:val="17"/>
              </w:rPr>
              <w:t xml:space="preserve">load_and_clean_election_csv</w:t>
            </w:r>
          </w:p>
        </w:tc>
      </w:tr>
      <w:tr>
        <w:tc>
          <w:tcPr>
            <w:tcW w:type="dxa" w:w="48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7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02</w:t>
            </w:r>
          </w:p>
        </w:tc>
        <w:tc>
          <w:tcPr>
            <w:tcW w:type="dxa" w:w="144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7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Chunk</w:t>
            </w:r>
          </w:p>
        </w:tc>
        <w:tc>
          <w:tcPr>
            <w:tcW w:type="dxa" w:w="240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7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Cleaned text / verbalized rows</w:t>
            </w:r>
          </w:p>
        </w:tc>
        <w:tc>
          <w:tcPr>
            <w:tcW w:type="dxa" w:w="288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7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chunks_*.jsonl — {chunk_id, text, source, doc_type, meta}</w:t>
            </w:r>
          </w:p>
        </w:tc>
        <w:tc>
          <w:tcPr>
            <w:tcW w:type="dxa" w:w="204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7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555577"/>
                <w:sz w:val="17"/>
                <w:szCs w:val="17"/>
              </w:rPr>
              <w:t xml:space="preserve">chunk_paragraph_packed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555577"/>
                <w:sz w:val="17"/>
                <w:szCs w:val="17"/>
              </w:rPr>
              <w:t xml:space="preserve">chunk_fixed_chars / _words</w:t>
            </w:r>
          </w:p>
        </w:tc>
      </w:tr>
      <w:tr>
        <w:tc>
          <w:tcPr>
            <w:tcW w:type="dxa" w:w="48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03</w:t>
            </w:r>
          </w:p>
        </w:tc>
        <w:tc>
          <w:tcPr>
            <w:tcW w:type="dxa" w:w="144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Embed</w:t>
            </w:r>
          </w:p>
        </w:tc>
        <w:tc>
          <w:tcPr>
            <w:tcW w:type="dxa" w:w="240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Chunk texts (JSONL)</w:t>
            </w:r>
          </w:p>
        </w:tc>
        <w:tc>
          <w:tcPr>
            <w:tcW w:type="dxa" w:w="288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384-dim L2-normalised embedding matrix (np.float32)</w:t>
            </w:r>
          </w:p>
        </w:tc>
        <w:tc>
          <w:tcPr>
            <w:tcW w:type="dxa" w:w="204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555577"/>
                <w:sz w:val="17"/>
                <w:szCs w:val="17"/>
              </w:rPr>
              <w:t xml:space="preserve">EmbeddingPipeline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555577"/>
                <w:sz w:val="17"/>
                <w:szCs w:val="17"/>
              </w:rPr>
              <w:t xml:space="preserve">.encode_passages()</w:t>
            </w:r>
          </w:p>
        </w:tc>
      </w:tr>
      <w:tr>
        <w:tc>
          <w:tcPr>
            <w:tcW w:type="dxa" w:w="48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7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04</w:t>
            </w:r>
          </w:p>
        </w:tc>
        <w:tc>
          <w:tcPr>
            <w:tcW w:type="dxa" w:w="144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7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Index</w:t>
            </w:r>
          </w:p>
        </w:tc>
        <w:tc>
          <w:tcPr>
            <w:tcW w:type="dxa" w:w="240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7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Embedding matrix + chunk texts</w:t>
            </w:r>
          </w:p>
        </w:tc>
        <w:tc>
          <w:tcPr>
            <w:tcW w:type="dxa" w:w="288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7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faiss.index · keyword_vectorizer.pkl · passage_embeddings.npy</w:t>
            </w:r>
          </w:p>
        </w:tc>
        <w:tc>
          <w:tcPr>
            <w:tcW w:type="dxa" w:w="204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7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555577"/>
                <w:sz w:val="17"/>
                <w:szCs w:val="17"/>
              </w:rPr>
              <w:t xml:space="preserve">FaissVectorStore.add()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555577"/>
                <w:sz w:val="17"/>
                <w:szCs w:val="17"/>
              </w:rPr>
              <w:t xml:space="preserve">KeywordIndex.fit()</w:t>
            </w:r>
          </w:p>
        </w:tc>
      </w:tr>
      <w:tr>
        <w:tc>
          <w:tcPr>
            <w:tcW w:type="dxa" w:w="48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05</w:t>
            </w:r>
          </w:p>
        </w:tc>
        <w:tc>
          <w:tcPr>
            <w:tcW w:type="dxa" w:w="144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Hybrid retrieve</w:t>
            </w:r>
          </w:p>
        </w:tc>
        <w:tc>
          <w:tcPr>
            <w:tcW w:type="dxa" w:w="240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User query + loaded FAISS + TF-IDF</w:t>
            </w:r>
          </w:p>
        </w:tc>
        <w:tc>
          <w:tcPr>
            <w:tcW w:type="dxa" w:w="288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Ranked List[RetrievedChunk] score_kind=hybrid_rrf</w:t>
            </w:r>
          </w:p>
        </w:tc>
        <w:tc>
          <w:tcPr>
            <w:tcW w:type="dxa" w:w="204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555577"/>
                <w:sz w:val="17"/>
                <w:szCs w:val="17"/>
              </w:rPr>
              <w:t xml:space="preserve">HybridRetriever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555577"/>
                <w:sz w:val="17"/>
                <w:szCs w:val="17"/>
              </w:rPr>
              <w:t xml:space="preserve">.retrieve_hybrid_rrf()</w:t>
            </w:r>
          </w:p>
        </w:tc>
      </w:tr>
      <w:tr>
        <w:tc>
          <w:tcPr>
            <w:tcW w:type="dxa" w:w="48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7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06</w:t>
            </w:r>
          </w:p>
        </w:tc>
        <w:tc>
          <w:tcPr>
            <w:tcW w:type="dxa" w:w="144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7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Feedback rerank</w:t>
            </w:r>
          </w:p>
        </w:tc>
        <w:tc>
          <w:tcPr>
            <w:tcW w:type="dxa" w:w="240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7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RRF-ranked chunks + feedback.jsonl</w:t>
            </w:r>
          </w:p>
        </w:tc>
        <w:tc>
          <w:tcPr>
            <w:tcW w:type="dxa" w:w="288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7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Re-ranked list, score_kind=hybrid_rrf_feedback</w:t>
            </w:r>
          </w:p>
        </w:tc>
        <w:tc>
          <w:tcPr>
            <w:tcW w:type="dxa" w:w="204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7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555577"/>
                <w:sz w:val="17"/>
                <w:szCs w:val="17"/>
              </w:rPr>
              <w:t xml:space="preserve">feedback_loop.py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555577"/>
                <w:sz w:val="17"/>
                <w:szCs w:val="17"/>
              </w:rPr>
              <w:t xml:space="preserve">apply_feedback_rerank()</w:t>
            </w:r>
          </w:p>
        </w:tc>
      </w:tr>
      <w:tr>
        <w:tc>
          <w:tcPr>
            <w:tcW w:type="dxa" w:w="48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07</w:t>
            </w:r>
          </w:p>
        </w:tc>
        <w:tc>
          <w:tcPr>
            <w:tcW w:type="dxa" w:w="144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Cross-encoder</w:t>
            </w:r>
          </w:p>
        </w:tc>
        <w:tc>
          <w:tcPr>
            <w:tcW w:type="dxa" w:w="240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Candidate pool ≤ LOCKED_RERANK_CANDIDATE_K = 24</w:t>
            </w:r>
          </w:p>
        </w:tc>
        <w:tc>
          <w:tcPr>
            <w:tcW w:type="dxa" w:w="288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Top retrieve_k chunks, score_kind=cross_encoder</w:t>
            </w:r>
          </w:p>
        </w:tc>
        <w:tc>
          <w:tcPr>
            <w:tcW w:type="dxa" w:w="204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555577"/>
                <w:sz w:val="17"/>
                <w:szCs w:val="17"/>
              </w:rPr>
              <w:t xml:space="preserve">cross_encoder_rerank()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555577"/>
                <w:sz w:val="17"/>
                <w:szCs w:val="17"/>
              </w:rPr>
              <w:t xml:space="preserve">CrossEncoder / lru_cache</w:t>
            </w:r>
          </w:p>
        </w:tc>
      </w:tr>
      <w:tr>
        <w:tc>
          <w:tcPr>
            <w:tcW w:type="dxa" w:w="48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7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08</w:t>
            </w:r>
          </w:p>
        </w:tc>
        <w:tc>
          <w:tcPr>
            <w:tcW w:type="dxa" w:w="144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7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Context pack</w:t>
            </w:r>
          </w:p>
        </w:tc>
        <w:tc>
          <w:tcPr>
            <w:tcW w:type="dxa" w:w="240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7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Top chunks · cap LOCKED_MAX_CONTEXT_CHARS = 4500</w:t>
            </w:r>
          </w:p>
        </w:tc>
        <w:tc>
          <w:tcPr>
            <w:tcW w:type="dxa" w:w="288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7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Numbered passage string [1]…[n] + metadata list</w:t>
            </w:r>
          </w:p>
        </w:tc>
        <w:tc>
          <w:tcPr>
            <w:tcW w:type="dxa" w:w="204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7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555577"/>
                <w:sz w:val="17"/>
                <w:szCs w:val="17"/>
              </w:rPr>
              <w:t xml:space="preserve">context_pack.py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555577"/>
                <w:sz w:val="17"/>
                <w:szCs w:val="17"/>
              </w:rPr>
              <w:t xml:space="preserve">pack_context_for_prompt()</w:t>
            </w:r>
          </w:p>
        </w:tc>
      </w:tr>
      <w:tr>
        <w:tc>
          <w:tcPr>
            <w:tcW w:type="dxa" w:w="48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09</w:t>
            </w:r>
          </w:p>
        </w:tc>
        <w:tc>
          <w:tcPr>
            <w:tcW w:type="dxa" w:w="144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Prompt render</w:t>
            </w:r>
          </w:p>
        </w:tc>
        <w:tc>
          <w:tcPr>
            <w:tcW w:type="dxa" w:w="240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Passages + query + variant (v2_grounded default)</w:t>
            </w:r>
          </w:p>
        </w:tc>
        <w:tc>
          <w:tcPr>
            <w:tcW w:type="dxa" w:w="288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Single prompt string with abstention instruction</w:t>
            </w:r>
          </w:p>
        </w:tc>
        <w:tc>
          <w:tcPr>
            <w:tcW w:type="dxa" w:w="204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555577"/>
                <w:sz w:val="17"/>
                <w:szCs w:val="17"/>
              </w:rPr>
              <w:t xml:space="preserve">prompt_templates.py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555577"/>
                <w:sz w:val="17"/>
                <w:szCs w:val="17"/>
              </w:rPr>
              <w:t xml:space="preserve">render_prompt()</w:t>
            </w:r>
          </w:p>
        </w:tc>
      </w:tr>
      <w:tr>
        <w:tc>
          <w:tcPr>
            <w:tcW w:type="dxa" w:w="48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7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10</w:t>
            </w:r>
          </w:p>
        </w:tc>
        <w:tc>
          <w:tcPr>
            <w:tcW w:type="dxa" w:w="144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7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Generate</w:t>
            </w:r>
          </w:p>
        </w:tc>
        <w:tc>
          <w:tcPr>
            <w:tcW w:type="dxa" w:w="240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7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Prompt string</w:t>
            </w:r>
          </w:p>
        </w:tc>
        <w:tc>
          <w:tcPr>
            <w:tcW w:type="dxa" w:w="288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7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Answer (grounded [n] citations or “Not found…”)</w:t>
            </w:r>
          </w:p>
        </w:tc>
        <w:tc>
          <w:tcPr>
            <w:tcW w:type="dxa" w:w="204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7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555577"/>
                <w:sz w:val="17"/>
                <w:szCs w:val="17"/>
              </w:rPr>
              <w:t xml:space="preserve">generation_backend.py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555577"/>
                <w:sz w:val="17"/>
                <w:szCs w:val="17"/>
              </w:rPr>
              <w:t xml:space="preserve">OllamaChatGenerator</w:t>
            </w:r>
          </w:p>
        </w:tc>
      </w:tr>
      <w:tr>
        <w:tc>
          <w:tcPr>
            <w:tcW w:type="dxa" w:w="48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11</w:t>
            </w:r>
          </w:p>
        </w:tc>
        <w:tc>
          <w:tcPr>
            <w:tcW w:type="dxa" w:w="144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Log &amp; return</w:t>
            </w:r>
          </w:p>
        </w:tc>
        <w:tc>
          <w:tcPr>
            <w:tcW w:type="dxa" w:w="240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Answer + all stage timestamps</w:t>
            </w:r>
          </w:p>
        </w:tc>
        <w:tc>
          <w:tcPr>
            <w:tcW w:type="dxa" w:w="288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RAGResult → Streamlit (answer · stage_timings_ms · chunks)</w:t>
            </w:r>
          </w:p>
        </w:tc>
        <w:tc>
          <w:tcPr>
            <w:tcW w:type="dxa" w:w="204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555577"/>
                <w:sz w:val="17"/>
                <w:szCs w:val="17"/>
              </w:rPr>
              <w:t xml:space="preserve">rag_pipeline.py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555577"/>
                <w:sz w:val="17"/>
                <w:szCs w:val="17"/>
              </w:rPr>
              <w:t xml:space="preserve">RAGPipeline.run()</w:t>
            </w:r>
          </w:p>
        </w:tc>
      </w:tr>
    </w:tbl>
    <w:p>
      <w:pPr>
        <w:spacing w:after="0" w:before="200"/>
      </w:pPr>
    </w:p>
    <w:p>
      <w:pPr>
        <w:pBdr>
          <w:bottom w:val="single" w:color="DDDDDD" w:sz="4" w:space="4"/>
        </w:pBdr>
        <w:spacing w:after="120" w:before="320"/>
      </w:pPr>
      <w:r>
        <w:rPr>
          <w:rFonts w:ascii="Courier New" w:cs="Courier New" w:eastAsia="Courier New" w:hAnsi="Courier New"/>
          <w:b w:val="false"/>
          <w:bCs w:val="false"/>
          <w:color w:val="555577"/>
          <w:sz w:val="16"/>
          <w:szCs w:val="16"/>
        </w:rPr>
        <w:t xml:space="preserve">COMPONENT INTERACTION — LAYER CONTRACTS</w:t>
      </w:r>
    </w:p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80"/>
        <w:gridCol w:w="240"/>
        <w:gridCol w:w="5280"/>
      </w:tblGrid>
      <w:tr>
        <w:tc>
          <w:tcPr>
            <w:tcBorders>
              <w:top w:val="single" w:color="2D6BB8" w:sz="4"/>
              <w:left w:val="single" w:color="2D6BB8" w:sz="4"/>
              <w:bottom w:val="single" w:color="2D6BB8" w:sz="4"/>
              <w:right w:val="single" w:color="2D6BB8" w:sz="4"/>
            </w:tcBorders>
            <w:shd w:fill="D6E8F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before="0"/>
            </w:pPr>
            <w:r>
              <w:rPr>
                <w:rFonts w:ascii="Courier New" w:cs="Courier New" w:eastAsia="Courier New" w:hAnsi="Courier New"/>
                <w:color w:val="0D3F7A"/>
                <w:sz w:val="15"/>
                <w:szCs w:val="15"/>
              </w:rPr>
              <w:t xml:space="preserve">LAYER 1 — PART A</w:t>
            </w:r>
          </w:p>
          <w:p>
            <w:pPr>
              <w:spacing w:after="80" w:before="0"/>
            </w:pPr>
            <w:r>
              <w:rPr>
                <w:rFonts w:ascii="Georgia" w:cs="Georgia" w:eastAsia="Georgia" w:hAnsi="Georgia"/>
                <w:b w:val="false"/>
                <w:bCs w:val="false"/>
                <w:color w:val="1A1A2E"/>
                <w:sz w:val="24"/>
                <w:szCs w:val="24"/>
              </w:rPr>
              <w:t xml:space="preserve">Data engineering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Reads raw PDF/CSV; applies source-specific cleaning (pypdf, pandas); runs all three chunking strategies. Only output is JSONL on disk — no other layer reads raw sources. Election rows verbalized to natural-language sentences before chunking.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55577"/>
                <w:sz w:val="16"/>
                <w:szCs w:val="16"/>
              </w:rPr>
              <w:t xml:space="preserve">part_a_data_engineering.py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</w:tcPr>
          <w:p/>
        </w:tc>
        <w:tc>
          <w:tcPr>
            <w:tcBorders>
              <w:top w:val="single" w:color="2D6BB8" w:sz="4"/>
              <w:left w:val="single" w:color="2D6BB8" w:sz="4"/>
              <w:bottom w:val="single" w:color="2D6BB8" w:sz="4"/>
              <w:right w:val="single" w:color="2D6BB8" w:sz="4"/>
            </w:tcBorders>
            <w:shd w:fill="D6E8F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before="0"/>
            </w:pPr>
            <w:r>
              <w:rPr>
                <w:rFonts w:ascii="Courier New" w:cs="Courier New" w:eastAsia="Courier New" w:hAnsi="Courier New"/>
                <w:color w:val="0D3F7A"/>
                <w:sz w:val="15"/>
                <w:szCs w:val="15"/>
              </w:rPr>
              <w:t xml:space="preserve">LAYER 2 — PART B</w:t>
            </w:r>
          </w:p>
          <w:p>
            <w:pPr>
              <w:spacing w:after="80" w:before="0"/>
            </w:pPr>
            <w:r>
              <w:rPr>
                <w:rFonts w:ascii="Georgia" w:cs="Georgia" w:eastAsia="Georgia" w:hAnsi="Georgia"/>
                <w:b w:val="false"/>
                <w:bCs w:val="false"/>
                <w:color w:val="1A1A2E"/>
                <w:sz w:val="24"/>
                <w:szCs w:val="24"/>
              </w:rPr>
              <w:t xml:space="preserve">Retrieval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Loads JSONL once at startup via HybridRetriever.build(). At query time: encode_query() → FAISS top-N (dense) + KeywordIndex top-N (sparse) → reciprocal_rank_fusion() → optional _digit_runs numeric boost. Cross-encoder reranks separately with lru_cache model loading.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55577"/>
                <w:sz w:val="16"/>
                <w:szCs w:val="16"/>
              </w:rPr>
              <w:t xml:space="preserve">retrieval_system.py · cross_encoder_rerank.py</w:t>
            </w:r>
          </w:p>
        </w:tc>
      </w:tr>
    </w:tbl>
    <w:p>
      <w:pPr>
        <w:spacing w:after="0" w:before="12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80"/>
        <w:gridCol w:w="240"/>
        <w:gridCol w:w="5280"/>
      </w:tblGrid>
      <w:tr>
        <w:tc>
          <w:tcPr>
            <w:tcBorders>
              <w:top w:val="single" w:color="1E7A6E" w:sz="4"/>
              <w:left w:val="single" w:color="1E7A6E" w:sz="4"/>
              <w:bottom w:val="single" w:color="1E7A6E" w:sz="4"/>
              <w:right w:val="single" w:color="1E7A6E" w:sz="4"/>
            </w:tcBorders>
            <w:shd w:fill="D4F0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before="0"/>
            </w:pPr>
            <w:r>
              <w:rPr>
                <w:rFonts w:ascii="Courier New" w:cs="Courier New" w:eastAsia="Courier New" w:hAnsi="Courier New"/>
                <w:color w:val="0A4A44"/>
                <w:sz w:val="15"/>
                <w:szCs w:val="15"/>
              </w:rPr>
              <w:t xml:space="preserve">LAYER 3 — PART C</w:t>
            </w:r>
          </w:p>
          <w:p>
            <w:pPr>
              <w:spacing w:after="80" w:before="0"/>
            </w:pPr>
            <w:r>
              <w:rPr>
                <w:rFonts w:ascii="Georgia" w:cs="Georgia" w:eastAsia="Georgia" w:hAnsi="Georgia"/>
                <w:b w:val="false"/>
                <w:bCs w:val="false"/>
                <w:color w:val="1A1A2E"/>
                <w:sz w:val="24"/>
                <w:szCs w:val="24"/>
              </w:rPr>
              <w:t xml:space="preserve">Grounding &amp; generation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Three pure functions in sequence: pack_context_for_prompt → render_prompt → OllamaChatGenerator. Only OllamaChatGenerator has a network dependency (POST /api/chat). Swapping the backend requires changing only this class.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55577"/>
                <w:sz w:val="16"/>
                <w:szCs w:val="16"/>
              </w:rPr>
              <w:t xml:space="preserve">context_pack.py · prompt_templates.py · generation_backend.py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</w:tcPr>
          <w:p/>
        </w:tc>
        <w:tc>
          <w:tcPr>
            <w:tcBorders>
              <w:top w:val="single" w:color="8A5C10" w:sz="4"/>
              <w:left w:val="single" w:color="8A5C10" w:sz="4"/>
              <w:bottom w:val="single" w:color="8A5C10" w:sz="4"/>
              <w:right w:val="single" w:color="8A5C10" w:sz="4"/>
            </w:tcBorders>
            <w:shd w:fill="FAF0D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before="0"/>
            </w:pPr>
            <w:r>
              <w:rPr>
                <w:rFonts w:ascii="Courier New" w:cs="Courier New" w:eastAsia="Courier New" w:hAnsi="Courier New"/>
                <w:color w:val="5C3800"/>
                <w:sz w:val="15"/>
                <w:szCs w:val="15"/>
              </w:rPr>
              <w:t xml:space="preserve">LAYER 4 — PART D</w:t>
            </w:r>
          </w:p>
          <w:p>
            <w:pPr>
              <w:spacing w:after="80" w:before="0"/>
            </w:pPr>
            <w:r>
              <w:rPr>
                <w:rFonts w:ascii="Georgia" w:cs="Georgia" w:eastAsia="Georgia" w:hAnsi="Georgia"/>
                <w:b w:val="false"/>
                <w:bCs w:val="false"/>
                <w:color w:val="1A1A2E"/>
                <w:sz w:val="24"/>
                <w:szCs w:val="24"/>
              </w:rPr>
              <w:t xml:space="preserve">Orchestration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RAGPipeline.run() is the single entry point. Wires Layers 2–3, enforces all LOCKED_* constants from constants.py, collects stage_timings_ms dict. Streamlit app never calls retrieval or generation components directly.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55577"/>
                <w:sz w:val="16"/>
                <w:szCs w:val="16"/>
              </w:rPr>
              <w:t xml:space="preserve">rag_pipeline.py · streamlit_app.py</w:t>
            </w:r>
          </w:p>
        </w:tc>
      </w:tr>
    </w:tbl>
    <w:p>
      <w:pPr>
        <w:spacing w:after="0" w:before="12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80"/>
        <w:gridCol w:w="240"/>
        <w:gridCol w:w="5280"/>
      </w:tblGrid>
      <w:tr>
        <w:tc>
          <w:tcPr>
            <w:tcBorders>
              <w:top w:val="single" w:color="5B4DB0" w:sz="4"/>
              <w:left w:val="single" w:color="5B4DB0" w:sz="4"/>
              <w:bottom w:val="single" w:color="5B4DB0" w:sz="4"/>
              <w:right w:val="single" w:color="5B4DB0" w:sz="4"/>
            </w:tcBorders>
            <w:shd w:fill="E8E4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before="0"/>
            </w:pPr>
            <w:r>
              <w:rPr>
                <w:rFonts w:ascii="Courier New" w:cs="Courier New" w:eastAsia="Courier New" w:hAnsi="Courier New"/>
                <w:color w:val="3A2880"/>
                <w:sz w:val="15"/>
                <w:szCs w:val="15"/>
              </w:rPr>
              <w:t xml:space="preserve">LAYER 5 — PART G</w:t>
            </w:r>
          </w:p>
          <w:p>
            <w:pPr>
              <w:spacing w:after="80" w:before="0"/>
            </w:pPr>
            <w:r>
              <w:rPr>
                <w:rFonts w:ascii="Georgia" w:cs="Georgia" w:eastAsia="Georgia" w:hAnsi="Georgia"/>
                <w:b w:val="false"/>
                <w:bCs w:val="false"/>
                <w:color w:val="1A1A2E"/>
                <w:sz w:val="24"/>
                <w:szCs w:val="24"/>
              </w:rPr>
              <w:t xml:space="preserve">Feedback loop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Inserts between RRF and cross-encoder. Uses the same EmbeddingPipeline instance (no extra model load). Streamlit cache key includes feedback store mtime — a new label automatically invalidates the pipeline cache on next query.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55577"/>
                <w:sz w:val="16"/>
                <w:szCs w:val="16"/>
              </w:rPr>
              <w:t xml:space="preserve">feedback_loop.py · record_feedback.py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</w:tcPr>
          <w:p/>
        </w:tc>
        <w:tc>
          <w:tcPr>
            <w:tcBorders>
              <w:top w:val="single" w:color="2A6A2A" w:sz="4"/>
              <w:left w:val="single" w:color="2A6A2A" w:sz="4"/>
              <w:bottom w:val="single" w:color="2A6A2A" w:sz="4"/>
              <w:right w:val="single" w:color="2A6A2A" w:sz="4"/>
            </w:tcBorders>
            <w:shd w:fill="D8EDD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before="0"/>
            </w:pPr>
            <w:r>
              <w:rPr>
                <w:rFonts w:ascii="Courier New" w:cs="Courier New" w:eastAsia="Courier New" w:hAnsi="Courier New"/>
                <w:color w:val="1A4A1A"/>
                <w:sz w:val="15"/>
                <w:szCs w:val="15"/>
              </w:rPr>
              <w:t xml:space="preserve">SHARED CONFIG</w:t>
            </w:r>
          </w:p>
          <w:p>
            <w:pPr>
              <w:spacing w:after="80" w:before="0"/>
            </w:pPr>
            <w:r>
              <w:rPr>
                <w:rFonts w:ascii="Georgia" w:cs="Georgia" w:eastAsia="Georgia" w:hAnsi="Georgia"/>
                <w:b w:val="false"/>
                <w:bCs w:val="false"/>
                <w:color w:val="1A1A2E"/>
                <w:sz w:val="24"/>
                <w:szCs w:val="24"/>
              </w:rPr>
              <w:t xml:space="preserve">Constants &amp; paths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All LOCKED_* values, default model names, and output paths live in constants.py. No layer has hardcoded paths — changing a constant here propagates everywhere. project_root() in paths.py resolves the repo root portably.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55577"/>
                <w:sz w:val="16"/>
                <w:szCs w:val="16"/>
              </w:rPr>
              <w:t xml:space="preserve">academic_city/constants.py · paths.py · text_utils.py</w:t>
            </w:r>
          </w:p>
        </w:tc>
      </w:tr>
    </w:tbl>
    <w:p>
      <w:pPr>
        <w:spacing w:after="0" w:before="120"/>
      </w:pPr>
    </w:p>
    <w:p>
      <w:pPr>
        <w:spacing w:after="0" w:before="80"/>
      </w:pPr>
    </w:p>
    <w:p>
      <w:pPr>
        <w:pBdr>
          <w:bottom w:val="single" w:color="DDDDDD" w:sz="4" w:space="4"/>
        </w:pBdr>
        <w:spacing w:after="120" w:before="320"/>
      </w:pPr>
      <w:r>
        <w:rPr>
          <w:rFonts w:ascii="Courier New" w:cs="Courier New" w:eastAsia="Courier New" w:hAnsi="Courier New"/>
          <w:b w:val="false"/>
          <w:bCs w:val="false"/>
          <w:color w:val="555577"/>
          <w:sz w:val="16"/>
          <w:szCs w:val="16"/>
        </w:rPr>
        <w:t xml:space="preserve">DOMAIN JUSTIFICATION — GHANA BUDGET + ELECTIONS</w:t>
      </w:r>
    </w:p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200"/>
        <w:gridCol w:w="8120"/>
      </w:tblGrid>
      <w:tr>
        <w:trPr>
          <w:tblHeader/>
        </w:trPr>
        <w:tc>
          <w:tcPr>
            <w:tcW w:type="dxa" w:w="480"/>
            <w:tcBorders>
              <w:top w:val="single" w:color="444466" w:sz="4"/>
              <w:left w:val="single" w:color="444466" w:sz="4"/>
              <w:bottom w:val="single" w:color="444466" w:sz="4"/>
              <w:right w:val="single" w:color="444466" w:sz="4"/>
            </w:tcBorders>
            <w:shd w:fill="1E203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444466" w:sz="4"/>
              <w:left w:val="single" w:color="444466" w:sz="4"/>
              <w:bottom w:val="single" w:color="444466" w:sz="4"/>
              <w:right w:val="single" w:color="444466" w:sz="4"/>
            </w:tcBorders>
            <w:shd w:fill="1E203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Design choice</w:t>
            </w:r>
          </w:p>
        </w:tc>
        <w:tc>
          <w:tcPr>
            <w:tcW w:type="dxa" w:w="8120"/>
            <w:tcBorders>
              <w:top w:val="single" w:color="444466" w:sz="4"/>
              <w:left w:val="single" w:color="444466" w:sz="4"/>
              <w:bottom w:val="single" w:color="444466" w:sz="4"/>
              <w:right w:val="single" w:color="444466" w:sz="4"/>
            </w:tcBorders>
            <w:shd w:fill="1E203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Why it suits this domain</w:t>
            </w:r>
          </w:p>
        </w:tc>
      </w:tr>
      <w:tr>
        <w:tc>
          <w:tcPr>
            <w:tcW w:type="dxa" w:w="48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RRF</w:t>
            </w:r>
          </w:p>
        </w:tc>
        <w:tc>
          <w:tcPr>
            <w:tcW w:type="dxa" w:w="220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Hybrid retrieval (dense + sparse + RRF)</w:t>
            </w:r>
          </w:p>
        </w:tc>
        <w:tc>
          <w:tcPr>
            <w:tcW w:type="dxa" w:w="812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Budget queries span two extremes: semantic (“measures for youth unemployment”) and lexical (“Section 28 Act 921”). TF-IDF up-weights rare tokens like “Act 921” that dense embeddings treat as ordinary phrases. reciprocal_rank_fusion() merges both ranked lists without requiring score calibration between the two scorers.</w:t>
            </w:r>
          </w:p>
        </w:tc>
      </w:tr>
      <w:tr>
        <w:tc>
          <w:tcPr>
            <w:tcW w:type="dxa" w:w="48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7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#</w:t>
            </w:r>
          </w:p>
        </w:tc>
        <w:tc>
          <w:tcPr>
            <w:tcW w:type="dxa" w:w="220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7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Numeric boost for election rows</w:t>
            </w:r>
          </w:p>
        </w:tc>
        <w:tc>
          <w:tcPr>
            <w:tcW w:type="dxa" w:w="812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7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Vote totals (e.g. 946,048) carry no semantic weight in embedding space. The post-RRF _digit_runs_from_query() + _chunk_contains_digit_run() boost implements exact-match retrieval for numeric facts within a semantic pipeline — the only reliable way to surface specific vote counts from the election CSV.</w:t>
            </w:r>
          </w:p>
        </w:tc>
      </w:tr>
      <w:tr>
        <w:tc>
          <w:tcPr>
            <w:tcW w:type="dxa" w:w="48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¶</w:t>
            </w:r>
          </w:p>
        </w:tc>
        <w:tc>
          <w:tcPr>
            <w:tcW w:type="dxa" w:w="220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Paragraph-packed chunking</w:t>
            </w:r>
          </w:p>
        </w:tc>
        <w:tc>
          <w:tcPr>
            <w:tcW w:type="dxa" w:w="812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Budget policy answers are local to one or two paragraphs. Fixed-character splits (Strategy A) create boundary fragments where the answer straddles two chunks. chunk_paragraph_packed() preserves clause integrity — each chunk embeds as a single topical unit and contains complete policy statements.</w:t>
            </w:r>
          </w:p>
        </w:tc>
      </w:tr>
      <w:tr>
        <w:tc>
          <w:tcPr>
            <w:tcW w:type="dxa" w:w="48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7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v2</w:t>
            </w:r>
          </w:p>
        </w:tc>
        <w:tc>
          <w:tcPr>
            <w:tcW w:type="dxa" w:w="220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7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v2_grounded + abstention for civic use</w:t>
            </w:r>
          </w:p>
        </w:tc>
        <w:tc>
          <w:tcPr>
            <w:tcW w:type="dxa" w:w="812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7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Hallucinated fiscal figures or wrong vote counts could mislead citizens. v2_grounded forces the model to abstain (“Not found in the provided context.”) when evidence is absent. Verified in Part C experiments: OOD geography query → full abstention; false-premise GHS 1bn budget query → rejection + real GH₵286.8bn figures cited.</w:t>
            </w:r>
          </w:p>
        </w:tc>
      </w:tr>
      <w:tr>
        <w:tc>
          <w:tcPr>
            <w:tcW w:type="dxa" w:w="48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CE</w:t>
            </w:r>
          </w:p>
        </w:tc>
        <w:tc>
          <w:tcPr>
            <w:tcW w:type="dxa" w:w="220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Cross-encoder precision at top-k</w:t>
            </w:r>
          </w:p>
        </w:tc>
        <w:tc>
          <w:tcPr>
            <w:tcW w:type="dxa" w:w="812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Hybrid RRF optimises recall; it does not precisely order the final top-k. cross_encoder_rerank() scores each (query, passage) pair with cross-encoder/ms-marco-MiniLM-L-6-v2 — it ensures the most relevant passage appears first within the LOCKED_MAX_CONTEXT_CHARS = 4500 cap. Candidate pool = LOCKED_RERANK_CANDIDATE_K = 24.</w:t>
            </w:r>
          </w:p>
        </w:tc>
      </w:tr>
      <w:tr>
        <w:tc>
          <w:tcPr>
            <w:tcW w:type="dxa" w:w="48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7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G</w:t>
            </w:r>
          </w:p>
        </w:tc>
        <w:tc>
          <w:tcPr>
            <w:tcW w:type="dxa" w:w="220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7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Feedback loop for repeated civic queries</w:t>
            </w:r>
          </w:p>
        </w:tc>
        <w:tc>
          <w:tcPr>
            <w:tcW w:type="dxa" w:w="812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7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Civic systems receive repeated or paraphrased queries (same budget chapter, same election year). apply_feedback_rerank() transfers human judgments to similar future queries via embedding similarity (threshold LOCKED_FEEDBACK_MIN_SIM = 0.68, weight LOCKED_FEEDBACK_WEIGHT = 0.25). No index retraining needed.</w:t>
            </w:r>
          </w:p>
        </w:tc>
      </w:tr>
    </w:tbl>
    <w:p>
      <w:pPr>
        <w:spacing w:after="0" w:before="200"/>
      </w:pPr>
    </w:p>
    <w:p>
      <w:pPr>
        <w:pBdr>
          <w:bottom w:val="single" w:color="DDDDDD" w:sz="4" w:space="4"/>
        </w:pBdr>
        <w:spacing w:after="120" w:before="320"/>
      </w:pPr>
      <w:r>
        <w:rPr>
          <w:rFonts w:ascii="Courier New" w:cs="Courier New" w:eastAsia="Courier New" w:hAnsi="Courier New"/>
          <w:b w:val="false"/>
          <w:bCs w:val="false"/>
          <w:color w:val="555577"/>
          <w:sz w:val="16"/>
          <w:szCs w:val="16"/>
        </w:rPr>
        <w:t xml:space="preserve">ARCHITECTURAL TRADE-OFFS</w:t>
      </w:r>
    </w:p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200"/>
        <w:gridCol w:w="4200"/>
      </w:tblGrid>
      <w:tr>
        <w:trPr>
          <w:tblHeader/>
        </w:trPr>
        <w:tc>
          <w:tcPr>
            <w:tcW w:type="dxa" w:w="2400"/>
            <w:tcBorders>
              <w:top w:val="single" w:color="444466" w:sz="4"/>
              <w:left w:val="single" w:color="444466" w:sz="4"/>
              <w:bottom w:val="single" w:color="444466" w:sz="4"/>
              <w:right w:val="single" w:color="444466" w:sz="4"/>
            </w:tcBorders>
            <w:shd w:fill="1E203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Decision</w:t>
            </w:r>
          </w:p>
        </w:tc>
        <w:tc>
          <w:tcPr>
            <w:tcW w:type="dxa" w:w="4200"/>
            <w:tcBorders>
              <w:top w:val="single" w:color="444466" w:sz="4"/>
              <w:left w:val="single" w:color="444466" w:sz="4"/>
              <w:bottom w:val="single" w:color="444466" w:sz="4"/>
              <w:right w:val="single" w:color="444466" w:sz="4"/>
            </w:tcBorders>
            <w:shd w:fill="1E203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Trade-off accepted</w:t>
            </w:r>
          </w:p>
        </w:tc>
        <w:tc>
          <w:tcPr>
            <w:tcW w:type="dxa" w:w="4200"/>
            <w:tcBorders>
              <w:top w:val="single" w:color="444466" w:sz="4"/>
              <w:left w:val="single" w:color="444466" w:sz="4"/>
              <w:bottom w:val="single" w:color="444466" w:sz="4"/>
              <w:right w:val="single" w:color="444466" w:sz="4"/>
            </w:tcBorders>
            <w:shd w:fill="1E203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Upgrade path</w:t>
            </w:r>
          </w:p>
        </w:tc>
      </w:tr>
      <w:tr>
        <w:tc>
          <w:tcPr>
            <w:tcW w:type="dxa" w:w="240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MiniLM-L6-v2 embedder</w:t>
            </w:r>
          </w:p>
        </w:tc>
        <w:tc>
          <w:tcPr>
            <w:tcW w:type="dxa" w:w="420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Lower quality than all-mpnet-base-v2 or E5-large; no GPU required; ~14k sentences/sec on CPU; correct for ~1200-chunk corpus</w:t>
            </w:r>
          </w:p>
        </w:tc>
        <w:tc>
          <w:tcPr>
            <w:tcW w:type="dxa" w:w="420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Swap EmbeddingPipeline model_name string → re-run persist_bundle()</w:t>
            </w:r>
          </w:p>
        </w:tc>
      </w:tr>
      <w:tr>
        <w:tc>
          <w:tcPr>
            <w:tcW w:type="dxa" w:w="240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7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FAISS IndexFlatIP (exact)</w:t>
            </w:r>
          </w:p>
        </w:tc>
        <w:tc>
          <w:tcPr>
            <w:tcW w:type="dxa" w:w="420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7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O(n) search per query; not scalable beyond ~500k vectors; sub-millisecond at 1200 chunks; no approximation error at this scale</w:t>
            </w:r>
          </w:p>
        </w:tc>
        <w:tc>
          <w:tcPr>
            <w:tcW w:type="dxa" w:w="420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7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Switch to IndexHNSWFlat or IndexIVFFlat for larger corpora</w:t>
            </w:r>
          </w:p>
        </w:tc>
      </w:tr>
      <w:tr>
        <w:tc>
          <w:tcPr>
            <w:tcW w:type="dxa" w:w="240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In-memory TF-IDF (sklearn)</w:t>
            </w:r>
          </w:p>
        </w:tc>
        <w:tc>
          <w:tcPr>
            <w:tcW w:type="dxa" w:w="420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No incremental update; full KeywordIndex.fit() required for new chunks; correct for the static corpus used here</w:t>
            </w:r>
          </w:p>
        </w:tc>
        <w:tc>
          <w:tcPr>
            <w:tcW w:type="dxa" w:w="420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Replace with rank-bm25 BM25Okapi or Elasticsearch for incremental updates</w:t>
            </w:r>
          </w:p>
        </w:tc>
      </w:tr>
      <w:tr>
        <w:tc>
          <w:tcPr>
            <w:tcW w:type="dxa" w:w="240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7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Cross-encoder on CPU</w:t>
            </w:r>
          </w:p>
        </w:tc>
        <w:tc>
          <w:tcPr>
            <w:tcW w:type="dxa" w:w="420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7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First-load latency 2–5s (mitigated by lru_cache); per-query rerank adds ~0.5–2s; toggleable in Streamlit; much better top-k precision than bi-encoder alone</w:t>
            </w:r>
          </w:p>
        </w:tc>
        <w:tc>
          <w:tcPr>
            <w:tcW w:type="dxa" w:w="420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7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GPU inference via device=‘cuda’ in CrossEncoder, or pre-cache scores for common queries</w:t>
            </w:r>
          </w:p>
        </w:tc>
      </w:tr>
      <w:tr>
        <w:tc>
          <w:tcPr>
            <w:tcW w:type="dxa" w:w="240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Strict v2_grounded prompt</w:t>
            </w:r>
          </w:p>
        </w:tc>
        <w:tc>
          <w:tcPr>
            <w:tcW w:type="dxa" w:w="420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Higher “not found” rate when retrieval misses the relevant chunk; wrong answers more harmful than abstentions in civic domain</w:t>
            </w:r>
          </w:p>
        </w:tc>
        <w:tc>
          <w:tcPr>
            <w:tcW w:type="dxa" w:w="420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Improve retrieval quality (Part B tuning, Part G labels) rather than loosening grounding constraints</w:t>
            </w:r>
          </w:p>
        </w:tc>
      </w:tr>
      <w:tr>
        <w:tc>
          <w:tcPr>
            <w:tcW w:type="dxa" w:w="240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7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Append-only feedback JSONL</w:t>
            </w:r>
          </w:p>
        </w:tc>
        <w:tc>
          <w:tcPr>
            <w:tcW w:type="dxa" w:w="420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7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Grows unboundedly; no de-duplication; simple, auditable, zero database dependency</w:t>
            </w:r>
          </w:p>
        </w:tc>
        <w:tc>
          <w:tcPr>
            <w:tcW w:type="dxa" w:w="4200"/>
            <w:tcBorders>
              <w:top w:val="single" w:color="CCCCDD" w:sz="4"/>
              <w:left w:val="single" w:color="CCCCDD" w:sz="4"/>
              <w:bottom w:val="single" w:color="CCCCDD" w:sz="4"/>
              <w:right w:val="single" w:color="CCCCDD" w:sz="4"/>
            </w:tcBorders>
            <w:shd w:fill="F7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Compact periodically: keep only the N most recent labels per chunk_id</w:t>
            </w:r>
          </w:p>
        </w:tc>
      </w:tr>
    </w:tbl>
    <w:p>
      <w:pPr>
        <w:spacing w:after="0" w:before="24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5400"/>
      </w:tblGrid>
      <w:tr>
        <w:tc>
          <w:tcPr>
            <w:tcBorders>
              <w:top w:val="single" w:color="CCCCDD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color w:val="555577"/>
                <w:sz w:val="16"/>
                <w:szCs w:val="16"/>
              </w:rPr>
              <w:t xml:space="preserve">Academic City RAG Project · Part F Architecture Reference</w:t>
            </w:r>
          </w:p>
        </w:tc>
        <w:tc>
          <w:tcPr>
            <w:tcBorders>
              <w:top w:val="single" w:color="CCCCDD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0"/>
              <w:right w:type="dxa" w:w="0"/>
            </w:tcMar>
          </w:tcPr>
          <w:p>
            <w:pPr>
              <w:jc w:val="right"/>
            </w:pPr>
            <w:r>
              <w:rPr>
                <w:rFonts w:ascii="Courier New" w:cs="Courier New" w:eastAsia="Courier New" w:hAnsi="Courier New"/>
                <w:color w:val="555577"/>
                <w:sz w:val="16"/>
                <w:szCs w:val="16"/>
              </w:rPr>
              <w:t xml:space="preserve">Eliezer Anim-Somuah · Index 10012300041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2"/>
      </w:pBdr>
      <w:jc w:val="center"/>
    </w:pPr>
    <w:r>
      <w:rPr>
        <w:rFonts w:ascii="Courier New" w:cs="Courier New" w:eastAsia="Courier New" w:hAnsi="Courier New"/>
        <w:color w:val="555577"/>
        <w:sz w:val="17"/>
        <w:szCs w:val="17"/>
      </w:rPr>
      <w:t xml:space="preserve">Page </w:t>
    </w:r>
    <w:r>
      <w:rPr>
        <w:rFonts w:ascii="Courier New" w:cs="Courier New" w:eastAsia="Courier New" w:hAnsi="Courier New"/>
        <w:color w:val="5555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ourier New" w:cs="Courier New" w:eastAsia="Courier New" w:hAnsi="Courier New"/>
        <w:color w:val="555577"/>
        <w:sz w:val="17"/>
        <w:szCs w:val="17"/>
      </w:rPr>
      <w:t xml:space="preserve"> of </w:t>
    </w:r>
    <w:r>
      <w:rPr>
        <w:rFonts w:ascii="Courier New" w:cs="Courier New" w:eastAsia="Courier New" w:hAnsi="Courier New"/>
        <w:color w:val="555577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DDD" w:sz="2" w:space="2"/>
      </w:pBdr>
      <w:tabs>
        <w:tab w:val="right" w:pos="10800"/>
      </w:tabs>
    </w:pPr>
    <w:r>
      <w:rPr>
        <w:rFonts w:ascii="Courier New" w:cs="Courier New" w:eastAsia="Courier New" w:hAnsi="Courier New"/>
        <w:color w:val="555577"/>
        <w:sz w:val="17"/>
        <w:szCs w:val="17"/>
      </w:rPr>
      <w:t xml:space="preserve">Academic City RAG · Part F Architecture</w:t>
    </w:r>
    <w:r>
      <w:rPr>
        <w:rFonts w:ascii="Courier New" w:cs="Courier New" w:eastAsia="Courier New" w:hAnsi="Courier New"/>
        <w:color w:val="555577"/>
        <w:sz w:val="17"/>
        <w:szCs w:val="17"/>
      </w:rPr>
      <w:t xml:space="preserve">		Eliezer Anim-Somuah · 10012300041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0"/>
      <w:outlineLvl w:val="0"/>
    </w:pPr>
    <w:rPr>
      <w:rFonts w:ascii="Georgia" w:cs="Georgia" w:eastAsia="Georgia" w:hAnsi="Georgia"/>
      <w:color w:val="1A1A2E"/>
      <w:sz w:val="48"/>
      <w:szCs w:val="48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color w:val="0D3F7A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2026-04-20T11:36:16.032Z</dcterms:created>
  <dcterms:modified xsi:type="dcterms:W3CDTF">2026-04-20T11:36:16.033Z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