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מלבד עולת הבוקר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ומדוע לא הוזכרה עשיית עולת הבוקר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לא הוכרה עשיית הקטורת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וראה רש</w:t>
      </w:r>
      <w:r>
        <w:rPr>
          <w:rFonts w:ascii="Arial" w:cs="Arial Unicode MS" w:hAnsi="Arial"/>
          <w:rtl w:val="0"/>
          <w:lang w:val="en-US"/>
        </w:rPr>
        <w:t>"</w:t>
      </w:r>
      <w:r>
        <w:rPr>
          <w:rFonts w:ascii="Arial Unicode MS" w:cs="Arial" w:hAnsi="Arial Unicode MS" w:eastAsia="Arial Unicode MS" w:hint="cs"/>
          <w:rtl w:val="1"/>
        </w:rPr>
        <w:t>י להלן כג שנכנסו ויצאו עבור הקטורת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ולפי״ז מדוע ברמז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ותצא אש מלפני ה׳ ותאכל על המזבח את העולה ואת החלבים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ותצא אש מלפני ה׳ ותאכל אותם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ויקריבו לפני ה׳ אש זרה אשר לא צווה אותם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ובחז״ל חלקו מדוע מתו בני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אם משום שנכנסו שתויי יין או שהורו הלכה בפני משה רבם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לא למדו את הפסוק כפשוטו משום אש זרה אשר לא צווה אותם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אולי הקריבו את הקטורת שלא הוזכרה כאן שהקטיר אהרן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והטעם של הורו הלכה יכול להוכיח כן שלא טעו בעצם המעשה אלא בהלכה שהורו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ויקריבו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צוה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קטורת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וידבר ה׳ על משה ואל אהרן לאמר אלהם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צווה למשה שיאמר לאהרן שיאמר לאלעזר ואתמר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והושוו להיות שלוחים בפרשה זו לפי שקבלו עליהם את הדין בדמימה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וצ״ע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שייך שכרם דווקא לפרשה זו של היתר ואיסור אכילה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ועוד קשה מדוע לא ביאר כן לגבי 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 ששם התייחד הדיבור רק לאהרן בענין יין ושכר אל תשת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ובתחילת אחרי מות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נאמר ציווי נוסף לגבי ׳אל יבוא בכל עת אל הקדש׳ שהוא נאמר גם בעקבות מתת בני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לא נאמר לאהרן אלא למשה שיאמר לו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