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Pilot sonucu ve ana deney için üç soru</w:t>
      </w:r>
    </w:p>
    <w:p>
      <w:pPr>
        <w:spacing w:after="260"/>
      </w:pPr>
      <w:r>
        <w:rPr>
          <w:color w:val="666666"/>
          <w:sz w:val="18"/>
          <w:szCs w:val="18"/>
        </w:rPr>
        <w:t xml:space="preserve">NOROM_Inv_Pendulum  ·  1 Eylül 2026  ·  Elif Arabacı</w:t>
      </w:r>
    </w:p>
    <w:p>
      <w:pPr>
        <w:spacing w:after="140" w:before="0"/>
      </w:pPr>
      <w:r>
        <w:rPr>
          <w:b w:val="false"/>
          <w:bCs w:val="false"/>
          <w:i w:val="false"/>
          <w:iCs w:val="false"/>
          <w:sz w:val="20"/>
          <w:szCs w:val="20"/>
        </w:rPr>
        <w:t xml:space="preserve">Pilot analizi tamamlandı. Bu not iki şey yapıyor: bulguyu tek sayfada özetliyor, ve ana deneyin tasarımı kesinleşmeden cevaplanması gereken üç soruyu literatürdeki gerekçesiyle birlikte ortaya koyuyor. Üç sorunun ortak özelliği, analiz aşamasında telafi edilemiyor olmaları; tasarıma girmezlerse sonuç yorumlanamaz hale geliyor.</w:t>
      </w:r>
    </w:p>
    <w:p>
      <w:pPr>
        <w:pStyle w:val="Heading1"/>
        <w:spacing w:after="140" w:before="360"/>
      </w:pPr>
      <w:r>
        <w:rPr>
          <w:b/>
          <w:bCs/>
          <w:sz w:val="26"/>
          <w:szCs w:val="26"/>
        </w:rPr>
        <w:t xml:space="preserve">1. Pilot ne buldu</w:t>
      </w:r>
    </w:p>
    <w:p>
      <w:pPr>
        <w:spacing w:after="140" w:before="0"/>
      </w:pPr>
      <w:r>
        <w:rPr>
          <w:b w:val="false"/>
          <w:bCs w:val="false"/>
          <w:i w:val="false"/>
          <w:iCs w:val="false"/>
          <w:sz w:val="20"/>
          <w:szCs w:val="20"/>
        </w:rPr>
        <w:t xml:space="preserve">12 katılımcı, tek oturum, 3 practice + 50 measurement trial. 5 koşul (no_noise, σ = 0.02, 0.05, 0.08, 0.25) × 10 tur, within-subject. Analiz birimi katılımcı × koşul, n = 12, bütün testler non-parametrik.</w:t>
      </w:r>
    </w:p>
    <w:p>
      <w:pPr>
        <w:spacing w:after="120" w:before="0"/>
      </w:pPr>
      <w:r>
        <w:rPr>
          <w:b/>
          <w:bCs/>
          <w:i w:val="false"/>
          <w:iCs w:val="false"/>
          <w:sz w:val="20"/>
          <w:szCs w:val="20"/>
        </w:rPr>
        <w:t xml:space="preserve">Stochastic resonance desteklenmiyor.</w:t>
      </w:r>
      <w:r>
        <w:rPr>
          <w:b w:val="false"/>
          <w:bCs w:val="false"/>
          <w:i w:val="false"/>
          <w:iCs w:val="false"/>
          <w:sz w:val="20"/>
          <w:szCs w:val="20"/>
        </w:rPr>
        <w:t xml:space="preserve"> U şeklinin doğrudan testi kuadratik ortogonal kontrast. Üç karar metriğinde de null.</w:t>
      </w:r>
    </w:p>
    <w:tbl>
      <w:tblPr>
        <w:tblW w:type="dxa" w:w="99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500"/>
        <w:gridCol w:w="1700"/>
        <w:gridCol w:w="1900"/>
        <w:gridCol w:w="2400"/>
      </w:tblGrid>
      <w:tr>
        <w:trPr>
          <w:tblHeader/>
        </w:trPr>
        <w:tc>
          <w:tcPr>
            <w:tcW w:type="dxa" w:w="2400"/>
            <w:shd w:fill="EFEFEF" w:color="auto" w:val="clear"/>
            <w:tcMar>
              <w:top w:type="dxa" w:w="70"/>
              <w:left w:type="dxa" w:w="100"/>
              <w:bottom w:type="dxa" w:w="70"/>
              <w:right w:type="dxa" w:w="100"/>
            </w:tcMar>
          </w:tcPr>
          <w:p>
            <w:pPr>
              <w:spacing w:after="0"/>
              <w:jc w:val="left"/>
            </w:pPr>
            <w:r>
              <w:rPr>
                <w:b/>
                <w:bCs/>
                <w:sz w:val="17"/>
                <w:szCs w:val="17"/>
              </w:rPr>
              <w:t xml:space="preserve">Karar metriği</w:t>
            </w:r>
          </w:p>
        </w:tc>
        <w:tc>
          <w:tcPr>
            <w:tcW w:type="dxa" w:w="1500"/>
            <w:shd w:fill="EFEFEF" w:color="auto" w:val="clear"/>
            <w:tcMar>
              <w:top w:type="dxa" w:w="70"/>
              <w:left w:type="dxa" w:w="100"/>
              <w:bottom w:type="dxa" w:w="70"/>
              <w:right w:type="dxa" w:w="100"/>
            </w:tcMar>
          </w:tcPr>
          <w:p>
            <w:pPr>
              <w:spacing w:after="0"/>
              <w:jc w:val="center"/>
            </w:pPr>
            <w:r>
              <w:rPr>
                <w:b/>
                <w:bCs/>
                <w:sz w:val="17"/>
                <w:szCs w:val="17"/>
              </w:rPr>
              <w:t xml:space="preserve">Friedman p</w:t>
            </w:r>
          </w:p>
        </w:tc>
        <w:tc>
          <w:tcPr>
            <w:tcW w:type="dxa" w:w="1700"/>
            <w:shd w:fill="EFEFEF" w:color="auto" w:val="clear"/>
            <w:tcMar>
              <w:top w:type="dxa" w:w="70"/>
              <w:left w:type="dxa" w:w="100"/>
              <w:bottom w:type="dxa" w:w="70"/>
              <w:right w:type="dxa" w:w="100"/>
            </w:tcMar>
          </w:tcPr>
          <w:p>
            <w:pPr>
              <w:spacing w:after="0"/>
              <w:jc w:val="center"/>
            </w:pPr>
            <w:r>
              <w:rPr>
                <w:b/>
                <w:bCs/>
                <w:sz w:val="17"/>
                <w:szCs w:val="17"/>
              </w:rPr>
              <w:t xml:space="preserve">Kendall W</w:t>
            </w:r>
          </w:p>
        </w:tc>
        <w:tc>
          <w:tcPr>
            <w:tcW w:type="dxa" w:w="1900"/>
            <w:shd w:fill="EFEFEF" w:color="auto" w:val="clear"/>
            <w:tcMar>
              <w:top w:type="dxa" w:w="70"/>
              <w:left w:type="dxa" w:w="100"/>
              <w:bottom w:type="dxa" w:w="70"/>
              <w:right w:type="dxa" w:w="100"/>
            </w:tcMar>
          </w:tcPr>
          <w:p>
            <w:pPr>
              <w:spacing w:after="0"/>
              <w:jc w:val="center"/>
            </w:pPr>
            <w:r>
              <w:rPr>
                <w:b/>
                <w:bCs/>
                <w:sz w:val="17"/>
                <w:szCs w:val="17"/>
              </w:rPr>
              <w:t xml:space="preserve">Lineer p</w:t>
            </w:r>
          </w:p>
        </w:tc>
        <w:tc>
          <w:tcPr>
            <w:tcW w:type="dxa" w:w="2400"/>
            <w:shd w:fill="EFEFEF" w:color="auto" w:val="clear"/>
            <w:tcMar>
              <w:top w:type="dxa" w:w="70"/>
              <w:left w:type="dxa" w:w="100"/>
              <w:bottom w:type="dxa" w:w="70"/>
              <w:right w:type="dxa" w:w="100"/>
            </w:tcMar>
          </w:tcPr>
          <w:p>
            <w:pPr>
              <w:spacing w:after="0"/>
              <w:jc w:val="center"/>
            </w:pPr>
            <w:r>
              <w:rPr>
                <w:b/>
                <w:bCs/>
                <w:sz w:val="17"/>
                <w:szCs w:val="17"/>
              </w:rPr>
              <w:t xml:space="preserve">Kuadratik p (SR testi)</w:t>
            </w:r>
          </w:p>
        </w:tc>
      </w:tr>
      <w:tr>
        <w:tc>
          <w:tcPr>
            <w:tcW w:type="dxa" w:w="2400"/>
            <w:tcMar>
              <w:top w:type="dxa" w:w="70"/>
              <w:left w:type="dxa" w:w="100"/>
              <w:bottom w:type="dxa" w:w="70"/>
              <w:right w:type="dxa" w:w="100"/>
            </w:tcMar>
          </w:tcPr>
          <w:p>
            <w:pPr>
              <w:spacing w:after="0"/>
              <w:jc w:val="left"/>
            </w:pPr>
            <w:r>
              <w:rPr>
                <w:b w:val="false"/>
                <w:bCs w:val="false"/>
                <w:sz w:val="17"/>
                <w:szCs w:val="17"/>
              </w:rPr>
              <w:t xml:space="preserve">mae_angle_deg</w:t>
            </w:r>
          </w:p>
        </w:tc>
        <w:tc>
          <w:tcPr>
            <w:tcW w:type="dxa" w:w="1500"/>
            <w:tcMar>
              <w:top w:type="dxa" w:w="70"/>
              <w:left w:type="dxa" w:w="100"/>
              <w:bottom w:type="dxa" w:w="70"/>
              <w:right w:type="dxa" w:w="100"/>
            </w:tcMar>
          </w:tcPr>
          <w:p>
            <w:pPr>
              <w:spacing w:after="0"/>
              <w:jc w:val="center"/>
            </w:pPr>
            <w:r>
              <w:rPr>
                <w:b w:val="false"/>
                <w:bCs w:val="false"/>
                <w:sz w:val="17"/>
                <w:szCs w:val="17"/>
              </w:rPr>
              <w:t xml:space="preserve">0.0014</w:t>
            </w:r>
          </w:p>
        </w:tc>
        <w:tc>
          <w:tcPr>
            <w:tcW w:type="dxa" w:w="1700"/>
            <w:tcMar>
              <w:top w:type="dxa" w:w="70"/>
              <w:left w:type="dxa" w:w="100"/>
              <w:bottom w:type="dxa" w:w="70"/>
              <w:right w:type="dxa" w:w="100"/>
            </w:tcMar>
          </w:tcPr>
          <w:p>
            <w:pPr>
              <w:spacing w:after="0"/>
              <w:jc w:val="center"/>
            </w:pPr>
            <w:r>
              <w:rPr>
                <w:b w:val="false"/>
                <w:bCs w:val="false"/>
                <w:sz w:val="17"/>
                <w:szCs w:val="17"/>
              </w:rPr>
              <w:t xml:space="preserve">0.37</w:t>
            </w:r>
          </w:p>
        </w:tc>
        <w:tc>
          <w:tcPr>
            <w:tcW w:type="dxa" w:w="1900"/>
            <w:tcMar>
              <w:top w:type="dxa" w:w="70"/>
              <w:left w:type="dxa" w:w="100"/>
              <w:bottom w:type="dxa" w:w="70"/>
              <w:right w:type="dxa" w:w="100"/>
            </w:tcMar>
          </w:tcPr>
          <w:p>
            <w:pPr>
              <w:spacing w:after="0"/>
              <w:jc w:val="center"/>
            </w:pPr>
            <w:r>
              <w:rPr>
                <w:b w:val="false"/>
                <w:bCs w:val="false"/>
                <w:sz w:val="17"/>
                <w:szCs w:val="17"/>
              </w:rPr>
              <w:t xml:space="preserve">0.00049</w:t>
            </w:r>
          </w:p>
        </w:tc>
        <w:tc>
          <w:tcPr>
            <w:tcW w:type="dxa" w:w="2400"/>
            <w:tcMar>
              <w:top w:type="dxa" w:w="70"/>
              <w:left w:type="dxa" w:w="100"/>
              <w:bottom w:type="dxa" w:w="70"/>
              <w:right w:type="dxa" w:w="100"/>
            </w:tcMar>
          </w:tcPr>
          <w:p>
            <w:pPr>
              <w:spacing w:after="0"/>
              <w:jc w:val="center"/>
            </w:pPr>
            <w:r>
              <w:rPr>
                <w:b/>
                <w:bCs/>
                <w:sz w:val="17"/>
                <w:szCs w:val="17"/>
              </w:rPr>
              <w:t xml:space="preserve">0.62</w:t>
            </w:r>
          </w:p>
        </w:tc>
      </w:tr>
      <w:tr>
        <w:tc>
          <w:tcPr>
            <w:tcW w:type="dxa" w:w="2400"/>
            <w:tcMar>
              <w:top w:type="dxa" w:w="70"/>
              <w:left w:type="dxa" w:w="100"/>
              <w:bottom w:type="dxa" w:w="70"/>
              <w:right w:type="dxa" w:w="100"/>
            </w:tcMar>
          </w:tcPr>
          <w:p>
            <w:pPr>
              <w:spacing w:after="0"/>
              <w:jc w:val="left"/>
            </w:pPr>
            <w:r>
              <w:rPr>
                <w:b w:val="false"/>
                <w:bCs w:val="false"/>
                <w:sz w:val="17"/>
                <w:szCs w:val="17"/>
              </w:rPr>
              <w:t xml:space="preserve">stab_time_s</w:t>
            </w:r>
          </w:p>
        </w:tc>
        <w:tc>
          <w:tcPr>
            <w:tcW w:type="dxa" w:w="1500"/>
            <w:tcMar>
              <w:top w:type="dxa" w:w="70"/>
              <w:left w:type="dxa" w:w="100"/>
              <w:bottom w:type="dxa" w:w="70"/>
              <w:right w:type="dxa" w:w="100"/>
            </w:tcMar>
          </w:tcPr>
          <w:p>
            <w:pPr>
              <w:spacing w:after="0"/>
              <w:jc w:val="center"/>
            </w:pPr>
            <w:r>
              <w:rPr>
                <w:b w:val="false"/>
                <w:bCs w:val="false"/>
                <w:sz w:val="17"/>
                <w:szCs w:val="17"/>
              </w:rPr>
              <w:t xml:space="preserve">0.021</w:t>
            </w:r>
          </w:p>
        </w:tc>
        <w:tc>
          <w:tcPr>
            <w:tcW w:type="dxa" w:w="1700"/>
            <w:tcMar>
              <w:top w:type="dxa" w:w="70"/>
              <w:left w:type="dxa" w:w="100"/>
              <w:bottom w:type="dxa" w:w="70"/>
              <w:right w:type="dxa" w:w="100"/>
            </w:tcMar>
          </w:tcPr>
          <w:p>
            <w:pPr>
              <w:spacing w:after="0"/>
              <w:jc w:val="center"/>
            </w:pPr>
            <w:r>
              <w:rPr>
                <w:b w:val="false"/>
                <w:bCs w:val="false"/>
                <w:sz w:val="17"/>
                <w:szCs w:val="17"/>
              </w:rPr>
              <w:t xml:space="preserve">0.24</w:t>
            </w:r>
          </w:p>
        </w:tc>
        <w:tc>
          <w:tcPr>
            <w:tcW w:type="dxa" w:w="1900"/>
            <w:tcMar>
              <w:top w:type="dxa" w:w="70"/>
              <w:left w:type="dxa" w:w="100"/>
              <w:bottom w:type="dxa" w:w="70"/>
              <w:right w:type="dxa" w:w="100"/>
            </w:tcMar>
          </w:tcPr>
          <w:p>
            <w:pPr>
              <w:spacing w:after="0"/>
              <w:jc w:val="center"/>
            </w:pPr>
            <w:r>
              <w:rPr>
                <w:b w:val="false"/>
                <w:bCs w:val="false"/>
                <w:sz w:val="17"/>
                <w:szCs w:val="17"/>
              </w:rPr>
              <w:t xml:space="preserve">0.0049</w:t>
            </w:r>
          </w:p>
        </w:tc>
        <w:tc>
          <w:tcPr>
            <w:tcW w:type="dxa" w:w="2400"/>
            <w:tcMar>
              <w:top w:type="dxa" w:w="70"/>
              <w:left w:type="dxa" w:w="100"/>
              <w:bottom w:type="dxa" w:w="70"/>
              <w:right w:type="dxa" w:w="100"/>
            </w:tcMar>
          </w:tcPr>
          <w:p>
            <w:pPr>
              <w:spacing w:after="0"/>
              <w:jc w:val="center"/>
            </w:pPr>
            <w:r>
              <w:rPr>
                <w:b/>
                <w:bCs/>
                <w:sz w:val="17"/>
                <w:szCs w:val="17"/>
              </w:rPr>
              <w:t xml:space="preserve">0.57</w:t>
            </w:r>
          </w:p>
        </w:tc>
      </w:tr>
      <w:tr>
        <w:tc>
          <w:tcPr>
            <w:tcW w:type="dxa" w:w="2400"/>
            <w:tcMar>
              <w:top w:type="dxa" w:w="70"/>
              <w:left w:type="dxa" w:w="100"/>
              <w:bottom w:type="dxa" w:w="70"/>
              <w:right w:type="dxa" w:w="100"/>
            </w:tcMar>
          </w:tcPr>
          <w:p>
            <w:pPr>
              <w:spacing w:after="0"/>
              <w:jc w:val="left"/>
            </w:pPr>
            <w:r>
              <w:rPr>
                <w:b w:val="false"/>
                <w:bCs w:val="false"/>
                <w:sz w:val="17"/>
                <w:szCs w:val="17"/>
              </w:rPr>
              <w:t xml:space="preserve">falls_angle_per_trial</w:t>
            </w:r>
          </w:p>
        </w:tc>
        <w:tc>
          <w:tcPr>
            <w:tcW w:type="dxa" w:w="1500"/>
            <w:tcMar>
              <w:top w:type="dxa" w:w="70"/>
              <w:left w:type="dxa" w:w="100"/>
              <w:bottom w:type="dxa" w:w="70"/>
              <w:right w:type="dxa" w:w="100"/>
            </w:tcMar>
          </w:tcPr>
          <w:p>
            <w:pPr>
              <w:spacing w:after="0"/>
              <w:jc w:val="center"/>
            </w:pPr>
            <w:r>
              <w:rPr>
                <w:b w:val="false"/>
                <w:bCs w:val="false"/>
                <w:sz w:val="17"/>
                <w:szCs w:val="17"/>
              </w:rPr>
              <w:t xml:space="preserve">0.0051</w:t>
            </w:r>
          </w:p>
        </w:tc>
        <w:tc>
          <w:tcPr>
            <w:tcW w:type="dxa" w:w="1700"/>
            <w:tcMar>
              <w:top w:type="dxa" w:w="70"/>
              <w:left w:type="dxa" w:w="100"/>
              <w:bottom w:type="dxa" w:w="70"/>
              <w:right w:type="dxa" w:w="100"/>
            </w:tcMar>
          </w:tcPr>
          <w:p>
            <w:pPr>
              <w:spacing w:after="0"/>
              <w:jc w:val="center"/>
            </w:pPr>
            <w:r>
              <w:rPr>
                <w:b w:val="false"/>
                <w:bCs w:val="false"/>
                <w:sz w:val="17"/>
                <w:szCs w:val="17"/>
              </w:rPr>
              <w:t xml:space="preserve">0.31</w:t>
            </w:r>
          </w:p>
        </w:tc>
        <w:tc>
          <w:tcPr>
            <w:tcW w:type="dxa" w:w="1900"/>
            <w:tcMar>
              <w:top w:type="dxa" w:w="70"/>
              <w:left w:type="dxa" w:w="100"/>
              <w:bottom w:type="dxa" w:w="70"/>
              <w:right w:type="dxa" w:w="100"/>
            </w:tcMar>
          </w:tcPr>
          <w:p>
            <w:pPr>
              <w:spacing w:after="0"/>
              <w:jc w:val="center"/>
            </w:pPr>
            <w:r>
              <w:rPr>
                <w:b w:val="false"/>
                <w:bCs w:val="false"/>
                <w:sz w:val="17"/>
                <w:szCs w:val="17"/>
              </w:rPr>
              <w:t xml:space="preserve">0.00098</w:t>
            </w:r>
          </w:p>
        </w:tc>
        <w:tc>
          <w:tcPr>
            <w:tcW w:type="dxa" w:w="2400"/>
            <w:tcMar>
              <w:top w:type="dxa" w:w="70"/>
              <w:left w:type="dxa" w:w="100"/>
              <w:bottom w:type="dxa" w:w="70"/>
              <w:right w:type="dxa" w:w="100"/>
            </w:tcMar>
          </w:tcPr>
          <w:p>
            <w:pPr>
              <w:spacing w:after="0"/>
              <w:jc w:val="center"/>
            </w:pPr>
            <w:r>
              <w:rPr>
                <w:b/>
                <w:bCs/>
                <w:sz w:val="17"/>
                <w:szCs w:val="17"/>
              </w:rPr>
              <w:t xml:space="preserve">0.58</w:t>
            </w:r>
          </w:p>
        </w:tc>
      </w:tr>
    </w:tbl>
    <w:p>
      <w:pPr>
        <w:spacing w:after="100" w:before="0"/>
      </w:pPr>
      <w:r>
        <w:rPr>
          <w:b w:val="false"/>
          <w:bCs w:val="false"/>
          <w:i w:val="false"/>
          <w:iCs w:val="false"/>
          <w:sz w:val="20"/>
          <w:szCs w:val="20"/>
        </w:rPr>
        <w:t xml:space="preserve"/>
      </w:r>
    </w:p>
    <w:p>
      <w:pPr>
        <w:spacing w:after="120" w:before="0"/>
      </w:pPr>
      <w:r>
        <w:rPr>
          <w:b w:val="false"/>
          <w:bCs w:val="false"/>
          <w:i w:val="false"/>
          <w:iCs w:val="false"/>
          <w:sz w:val="20"/>
          <w:szCs w:val="20"/>
        </w:rPr>
        <w:t xml:space="preserve">Bulunan şey monoton bozulma. Lineer kontrast üç metrikte de anlamlı ve katılımcıların 10-12'sinde aynı yönde. N1 (σ = 0.02) baseline'dan ayırt edilemiyor: üç metrikte de p ≈ 0.90, dz ≤ 0.20. N2'den itibaren performans düşüyor.</w:t>
      </w:r>
    </w:p>
    <w:p>
      <w:pPr>
        <w:spacing w:after="120" w:before="0"/>
      </w:pPr>
      <w:r>
        <w:rPr>
          <w:b w:val="false"/>
          <w:bCs w:val="false"/>
          <w:i w:val="false"/>
          <w:iCs w:val="false"/>
          <w:sz w:val="20"/>
          <w:szCs w:val="20"/>
        </w:rPr>
        <w:t xml:space="preserve">Kontrol mekanizması tarafında da koşul etkisi yok. Ludolph'un action timing ölçütünde koşullar arası yayılım 15 ms iken kişiler arası yayılım 269 ms; yani kişi farkı koşul farkını yaklaşık 18 katına çıkarıyor. Action variability koşulla düşüyor ama kuvvet genliğine bölününce etki kayboluyor, yani kuvvet küçülüyor, tutarlılık artmıyor.</w:t>
      </w:r>
    </w:p>
    <w:p>
      <w:pPr>
        <w:spacing w:after="140" w:before="0"/>
      </w:pPr>
      <w:r>
        <w:rPr>
          <w:b w:val="false"/>
          <w:bCs w:val="false"/>
          <w:i w:val="false"/>
          <w:iCs w:val="false"/>
          <w:sz w:val="20"/>
          <w:szCs w:val="20"/>
        </w:rPr>
        <w:t xml:space="preserve">Duyarlılık kontrolleri geçti: stabilizasyon eşiği 10°-45° taramasında her eşikte lineer anlamlı, hiçbirinde kuadratik anlamlı değil.</w:t>
      </w:r>
    </w:p>
    <w:p>
      <w:pPr>
        <w:pStyle w:val="Heading1"/>
        <w:spacing w:after="140" w:before="360"/>
      </w:pPr>
      <w:r>
        <w:rPr>
          <w:b/>
          <w:bCs/>
          <w:sz w:val="26"/>
          <w:szCs w:val="26"/>
        </w:rPr>
        <w:t xml:space="preserve">2. Bu sonuç neden şaşırtıcı değil</w:t>
      </w:r>
    </w:p>
    <w:p>
      <w:pPr>
        <w:spacing w:after="100" w:before="0"/>
      </w:pPr>
      <w:r>
        <w:rPr>
          <w:b w:val="false"/>
          <w:bCs w:val="false"/>
          <w:i w:val="false"/>
          <w:iCs w:val="false"/>
          <w:sz w:val="20"/>
          <w:szCs w:val="20"/>
        </w:rPr>
        <w:t xml:space="preserve">Treviño'nun stochastic resonance sonucunun kritik bir ön koşulu var: sinyal kasıtlı olarak algı eşiğinin altına indiriliyor (düşük coherence, düşük luminance). Gürültü eşik altındaki sinyali eşiğin üstüne taşıdığı için işe yarıyor.</w:t>
      </w:r>
    </w:p>
    <w:p>
      <w:pPr>
        <w:spacing w:after="60" w:before="0"/>
      </w:pPr>
      <w:r>
        <w:rPr>
          <w:b w:val="false"/>
          <w:bCs w:val="false"/>
          <w:i w:val="false"/>
          <w:iCs w:val="false"/>
          <w:sz w:val="20"/>
          <w:szCs w:val="20"/>
        </w:rPr>
        <w:t xml:space="preserve">Cart-pole'daki pole yüksek kontrastlı ve büyük, yani eşiğin çok üstünde. SR mekanizmasının çalışması için gereken koşul bizim görevimizde sağlanmıyor. Bu, hipotezi kurarken varsayılan değil test edilen bir şey olmalıydı.</w:t>
      </w:r>
    </w:p>
    <w:p>
      <w:pPr>
        <w:spacing w:after="140"/>
        <w:ind w:left="280"/>
      </w:pPr>
      <w:r>
        <w:rPr>
          <w:i/>
          <w:iCs/>
          <w:color w:val="666666"/>
          <w:sz w:val="17"/>
          <w:szCs w:val="17"/>
        </w:rPr>
        <w:t xml:space="preserve">Kaynak: Treviño et al. 2016, Front Hum Neurosci 10:572</w:t>
      </w:r>
    </w:p>
    <w:p>
      <w:pPr>
        <w:spacing w:after="60" w:before="0"/>
      </w:pPr>
      <w:r>
        <w:rPr>
          <w:b w:val="false"/>
          <w:bCs w:val="false"/>
          <w:i w:val="false"/>
          <w:iCs w:val="false"/>
          <w:sz w:val="20"/>
          <w:szCs w:val="20"/>
        </w:rPr>
        <w:t xml:space="preserve">Gözlenen monoton bozulmayı öngören alternatif bir model var. Insperger ve Milton, duyusal belirsizlik arttıkça kontrolcünün bir "dead zone" gibi davrandığını gösteriyor: küçük sapmalar algılanmıyor, düzeltmeler seyrekleşiyor ve büyüyor. Bu model U değil, monoton bozulma öngörür. Verinin uyduğu tahmin bu.</w:t>
      </w:r>
    </w:p>
    <w:p>
      <w:pPr>
        <w:spacing w:after="140"/>
        <w:ind w:left="280"/>
      </w:pPr>
      <w:r>
        <w:rPr>
          <w:i/>
          <w:iCs/>
          <w:color w:val="666666"/>
          <w:sz w:val="17"/>
          <w:szCs w:val="17"/>
        </w:rPr>
        <w:t xml:space="preserve">Kaynak: Insperger &amp; Milton 2014, Biol Cybern 108(1)</w:t>
      </w:r>
    </w:p>
    <w:p>
      <w:pPr>
        <w:spacing w:after="60" w:before="0"/>
      </w:pPr>
      <w:r>
        <w:rPr>
          <w:b/>
          <w:bCs/>
          <w:i w:val="false"/>
          <w:iCs w:val="false"/>
          <w:sz w:val="20"/>
          <w:szCs w:val="20"/>
        </w:rPr>
        <w:t xml:space="preserve">Haptic kolun durumu farklı ve daha umut verici.</w:t>
      </w:r>
      <w:r>
        <w:rPr>
          <w:b w:val="false"/>
          <w:bCs w:val="false"/>
          <w:i w:val="false"/>
          <w:iCs w:val="false"/>
          <w:sz w:val="20"/>
          <w:szCs w:val="20"/>
        </w:rPr>
        <w:t xml:space="preserve"> Ayak tabanına uygulanan subsensory mekanik gürültünün postural sway'i azalttığı doğrudan gösterilmiş bir sonuç. Orada sinyal (küçük deri deformasyonları) gerçekten eşik civarında, yani SR'ın ön koşulu sağlanıyor. Aynı şey parmakla kuvvet kontrolünde de gösterilmiş.</w:t>
      </w:r>
    </w:p>
    <w:p>
      <w:pPr>
        <w:spacing w:after="140"/>
        <w:ind w:left="280"/>
      </w:pPr>
      <w:r>
        <w:rPr>
          <w:i/>
          <w:iCs/>
          <w:color w:val="666666"/>
          <w:sz w:val="17"/>
          <w:szCs w:val="17"/>
        </w:rPr>
        <w:t xml:space="preserve">Kaynak: Priplata et al. 2002, Phys Rev Lett 89:238101  ·  Méndez-Balbuena et al. 2012, J Neurosci 32(36):12612</w:t>
      </w:r>
    </w:p>
    <w:p>
      <w:pPr>
        <w:pStyle w:val="Heading1"/>
        <w:spacing w:after="140" w:before="360"/>
      </w:pPr>
      <w:r>
        <w:rPr>
          <w:b/>
          <w:bCs/>
          <w:sz w:val="26"/>
          <w:szCs w:val="26"/>
        </w:rPr>
        <w:t xml:space="preserve">3. Ana deney için üç soru</w:t>
      </w:r>
    </w:p>
    <w:p>
      <w:pPr>
        <w:spacing w:after="160" w:before="0"/>
      </w:pPr>
      <w:r>
        <w:rPr>
          <w:b w:val="false"/>
          <w:bCs w:val="false"/>
          <w:i w:val="false"/>
          <w:iCs w:val="false"/>
          <w:sz w:val="20"/>
          <w:szCs w:val="20"/>
        </w:rPr>
        <w:t xml:space="preserve">Ana deney motor öğrenmeye bakacak, g performansa bağlı değişecek ve adaptation ölçülecek. Aşağıdaki üçü tasarım kararı; analiz aşamasında düzeltilemezler.</w:t>
      </w:r>
    </w:p>
    <w:p>
      <w:pPr>
        <w:spacing w:after="80" w:before="220"/>
      </w:pPr>
      <w:r>
        <w:rPr>
          <w:b/>
          <w:bCs/>
          <w:sz w:val="21"/>
          <w:szCs w:val="21"/>
        </w:rPr>
        <w:t xml:space="preserve">Soru 1. Sonda ortak ve noise'suz bir test var mı?</w:t>
      </w:r>
    </w:p>
    <w:p>
      <w:pPr>
        <w:spacing w:after="100" w:before="0"/>
      </w:pPr>
      <w:r>
        <w:rPr>
          <w:b w:val="false"/>
          <w:bCs w:val="false"/>
          <w:i w:val="false"/>
          <w:iCs w:val="false"/>
          <w:sz w:val="20"/>
          <w:szCs w:val="20"/>
        </w:rPr>
        <w:t xml:space="preserve">Motor learning literatüründe antrenman sırasındaki performans ile kalıcı öğrenme ayrı şeyler ve düzenli olarak ayrışıyorlar. Antrenmanı zorlaştıran manipülasyonlar o sırada performansı kötüleştirip retention ve transfer'i iyileştirebiliyor.</w:t>
      </w:r>
    </w:p>
    <w:p>
      <w:pPr>
        <w:spacing w:after="60" w:before="0"/>
      </w:pPr>
      <w:r>
        <w:rPr>
          <w:b w:val="false"/>
          <w:bCs w:val="false"/>
          <w:i w:val="false"/>
          <w:iCs w:val="false"/>
          <w:sz w:val="20"/>
          <w:szCs w:val="20"/>
        </w:rPr>
        <w:t xml:space="preserve">Bizim için sonucu şu: </w:t>
      </w:r>
      <w:r>
        <w:rPr>
          <w:b/>
          <w:bCs/>
          <w:i w:val="false"/>
          <w:iCs w:val="false"/>
          <w:sz w:val="20"/>
          <w:szCs w:val="20"/>
        </w:rPr>
        <w:t xml:space="preserve">pilot noise'un anlık performansı bozduğunu zaten gösterdi.</w:t>
      </w:r>
      <w:r>
        <w:rPr>
          <w:b w:val="false"/>
          <w:bCs w:val="false"/>
          <w:i w:val="false"/>
          <w:iCs w:val="false"/>
          <w:sz w:val="20"/>
          <w:szCs w:val="20"/>
        </w:rPr>
        <w:t xml:space="preserve"> Ana deneyde noise grubu antrenman boyunca daha kötü görünecek. Eğer sadece antrenman eğrileri karşılaştırılırsa sonuç baştan bellidir ve yorumlanamaz: noise öğrenmeyi mi bozdu, yoksa sadece o sıradaki performansı mı bozdu, ayırt edilemez. Bu ikisini ayırabilecek tek şey, antrenman bittikten sonra herkese aynı koşulda (noise'suz) uygulanan bir test.</w:t>
      </w:r>
    </w:p>
    <w:p>
      <w:pPr>
        <w:spacing w:after="140"/>
        <w:ind w:left="280"/>
      </w:pPr>
      <w:r>
        <w:rPr>
          <w:i/>
          <w:iCs/>
          <w:color w:val="666666"/>
          <w:sz w:val="17"/>
          <w:szCs w:val="17"/>
        </w:rPr>
        <w:t xml:space="preserve">Kaynak: Schmidt &amp; Bjork 1992, Psychol Sci 3(4):207  ·  Kantak &amp; Winstein 2012, Behav Brain Res 228(1):219</w:t>
      </w:r>
    </w:p>
    <w:p>
      <w:pPr>
        <w:spacing w:after="80" w:before="220"/>
      </w:pPr>
      <w:r>
        <w:rPr>
          <w:b/>
          <w:bCs/>
          <w:sz w:val="21"/>
          <w:szCs w:val="21"/>
        </w:rPr>
        <w:t xml:space="preserve">Soru 2. g geri alınıyor mu?</w:t>
      </w:r>
    </w:p>
    <w:p>
      <w:pPr>
        <w:spacing w:after="100" w:before="0"/>
      </w:pPr>
      <w:r>
        <w:rPr>
          <w:b w:val="false"/>
          <w:bCs w:val="false"/>
          <w:i w:val="false"/>
          <w:iCs w:val="false"/>
          <w:sz w:val="20"/>
          <w:szCs w:val="20"/>
        </w:rPr>
        <w:t xml:space="preserve">Adaptation teknik bir terim: sistematik bir perturbation uygulanır, kişi internal model'ini yeniden kalibre eder, ve perturbation kaldırılınca ters yönde bir aftereffect ortaya çıkar. Aftereffect adaptation'ın imzasıdır.</w:t>
      </w:r>
    </w:p>
    <w:p>
      <w:pPr>
        <w:spacing w:after="100" w:before="0"/>
      </w:pPr>
      <w:r>
        <w:rPr>
          <w:b w:val="false"/>
          <w:bCs w:val="false"/>
          <w:i w:val="false"/>
          <w:iCs w:val="false"/>
          <w:sz w:val="20"/>
          <w:szCs w:val="20"/>
        </w:rPr>
        <w:t xml:space="preserve">g monoton olarak artıp hiç geri alınmazsa aftereffect ölçülemez. O durumda ölçülen şey adaptation değil, giderek zorlaşan bir görevde de novo beceri öğrenmesi olur. İkisi farklı mekanizmalar ve farklı ölçütler ister. Sürekli kontrol görevlerinde bu ayrım doğrudan gösterilmiş durumda.</w:t>
      </w:r>
    </w:p>
    <w:p>
      <w:pPr>
        <w:spacing w:after="60" w:before="0"/>
      </w:pPr>
      <w:r>
        <w:rPr>
          <w:b w:val="false"/>
          <w:bCs w:val="false"/>
          <w:i w:val="false"/>
          <w:iCs w:val="false"/>
          <w:sz w:val="20"/>
          <w:szCs w:val="20"/>
        </w:rPr>
        <w:t xml:space="preserve">Somut öneri: antrenmanın sonunda g'nin bir süre başlangıç değerine döndürüldüğü kısa bir blok. Aftereffect oradan okunur.</w:t>
      </w:r>
    </w:p>
    <w:p>
      <w:pPr>
        <w:spacing w:after="140"/>
        <w:ind w:left="280"/>
      </w:pPr>
      <w:r>
        <w:rPr>
          <w:i/>
          <w:iCs/>
          <w:color w:val="666666"/>
          <w:sz w:val="17"/>
          <w:szCs w:val="17"/>
        </w:rPr>
        <w:t xml:space="preserve">Kaynak: Yang, Cowan &amp; Haith 2021, eLife 10:e62578  ·  Krakauer et al. 2019, Compr Physiol 9(2):613</w:t>
      </w:r>
    </w:p>
    <w:p>
      <w:pPr>
        <w:spacing w:after="80" w:before="220"/>
      </w:pPr>
      <w:r>
        <w:rPr>
          <w:b/>
          <w:bCs/>
          <w:sz w:val="21"/>
          <w:szCs w:val="21"/>
        </w:rPr>
        <w:t xml:space="preserve">Soru 3. no_noise ile N2 arası beşe bölünecekse güç analizi yapıldı mı?</w:t>
      </w:r>
    </w:p>
    <w:p>
      <w:pPr>
        <w:spacing w:after="100" w:before="0"/>
      </w:pPr>
      <w:r>
        <w:rPr>
          <w:b w:val="false"/>
          <w:bCs w:val="false"/>
          <w:i w:val="false"/>
          <w:iCs w:val="false"/>
          <w:sz w:val="20"/>
          <w:szCs w:val="20"/>
        </w:rPr>
        <w:t xml:space="preserve">Pilotta o pencerede ölçülen etki büyüklüğü dz ≤ 0.20 ve p ≈ 0.90 idi. Yani orada bir fark varsa bile bu örneklemle görülemeyecek kadar küçük.</w:t>
      </w:r>
    </w:p>
    <w:p>
      <w:pPr>
        <w:spacing w:after="100" w:before="0"/>
      </w:pPr>
      <w:r>
        <w:rPr>
          <w:b w:val="false"/>
          <w:bCs w:val="false"/>
          <w:i w:val="false"/>
          <w:iCs w:val="false"/>
          <w:sz w:val="20"/>
          <w:szCs w:val="20"/>
        </w:rPr>
        <w:t xml:space="preserve">Within-subject bir farkta dz = 0.20'yi %80 güçle yakalamak yaklaşık </w:t>
      </w:r>
      <w:r>
        <w:rPr>
          <w:b/>
          <w:bCs/>
          <w:i w:val="false"/>
          <w:iCs w:val="false"/>
          <w:sz w:val="20"/>
          <w:szCs w:val="20"/>
        </w:rPr>
        <w:t xml:space="preserve">200 katılımcı</w:t>
      </w:r>
      <w:r>
        <w:rPr>
          <w:b w:val="false"/>
          <w:bCs w:val="false"/>
          <w:i w:val="false"/>
          <w:iCs w:val="false"/>
          <w:sz w:val="20"/>
          <w:szCs w:val="20"/>
        </w:rPr>
        <w:t xml:space="preserve"> ister (eşleştirilmiş test, α = 0.05, iki yönlü). Beş seviye ve çoklu karşılaştırma varsa daha fazla.</w:t>
      </w:r>
    </w:p>
    <w:p>
      <w:pPr>
        <w:spacing w:after="140" w:before="0"/>
      </w:pPr>
      <w:r>
        <w:rPr>
          <w:b w:val="false"/>
          <w:bCs w:val="false"/>
          <w:i w:val="false"/>
          <w:iCs w:val="false"/>
          <w:sz w:val="20"/>
          <w:szCs w:val="20"/>
        </w:rPr>
        <w:t xml:space="preserve">Sorun grid çözünürlüğü değil, güç. Daha ince bir grid aynı gürültüyü daha çok parçaya böler. Çözüm ya katılımcı sayısı, ya seviye başına trial sayısı, ya da grup ortalaması yerine kişi içi optimumun aranması. Üçüncüsü için önce kişi içi güvenilirliğin ölçülmesi gerekiyor; bunu mevcut pilot verisinden hesaplayabiliriz (koşul başına 10 tekrarı 5+5 bölüp sıralamanın iki yarıda tutup tutmadığına bakmak).</w:t>
      </w:r>
    </w:p>
    <w:p>
      <w:pPr>
        <w:pStyle w:val="Heading1"/>
        <w:spacing w:after="140" w:before="360"/>
      </w:pPr>
      <w:r>
        <w:rPr>
          <w:b/>
          <w:bCs/>
          <w:sz w:val="26"/>
          <w:szCs w:val="26"/>
        </w:rPr>
        <w:t xml:space="preserve">4. Analiz tarafında ne hazır</w:t>
      </w:r>
    </w:p>
    <w:p>
      <w:pPr>
        <w:spacing w:after="100" w:before="0"/>
      </w:pPr>
      <w:r>
        <w:rPr>
          <w:b w:val="false"/>
          <w:bCs w:val="false"/>
          <w:i w:val="false"/>
          <w:iCs w:val="false"/>
          <w:sz w:val="20"/>
          <w:szCs w:val="20"/>
        </w:rPr>
        <w:t xml:space="preserve">Pilot için kurulan pipeline ana deneyde büyük ölçüde yeniden kullanılabilir. Hazır olanlar:</w:t>
      </w:r>
    </w:p>
    <w:p>
      <w:pPr>
        <w:spacing w:after="40" w:before="0"/>
        <w:ind w:left="200"/>
      </w:pPr>
      <w:r>
        <w:rPr>
          <w:b w:val="false"/>
          <w:bCs w:val="false"/>
          <w:i w:val="false"/>
          <w:iCs w:val="false"/>
          <w:sz w:val="20"/>
          <w:szCs w:val="20"/>
        </w:rPr>
        <w:t xml:space="preserve">· Yükleme, QC ve kendi geçerlilik maskemiz (kayıttaki valid_trial kullanılabilir durumda değil)</w:t>
      </w:r>
    </w:p>
    <w:p>
      <w:pPr>
        <w:spacing w:after="40" w:before="0"/>
        <w:ind w:left="200"/>
      </w:pPr>
      <w:r>
        <w:rPr>
          <w:b w:val="false"/>
          <w:bCs w:val="false"/>
          <w:i w:val="false"/>
          <w:iCs w:val="false"/>
          <w:sz w:val="20"/>
          <w:szCs w:val="20"/>
        </w:rPr>
        <w:t xml:space="preserve">· Episode ve regime segmentasyonu, safe/fall durum tanımı, I/CR/D/A aksiyon sınıflaması</w:t>
      </w:r>
    </w:p>
    <w:p>
      <w:pPr>
        <w:spacing w:after="40" w:before="0"/>
        <w:ind w:left="200"/>
      </w:pPr>
      <w:r>
        <w:rPr>
          <w:b w:val="false"/>
          <w:bCs w:val="false"/>
          <w:i w:val="false"/>
          <w:iCs w:val="false"/>
          <w:sz w:val="20"/>
          <w:szCs w:val="20"/>
        </w:rPr>
        <w:t xml:space="preserve">· Fizik modeli ve T₀ hesabı, veriden doğrulanmış</w:t>
      </w:r>
    </w:p>
    <w:p>
      <w:pPr>
        <w:spacing w:after="40" w:before="0"/>
        <w:ind w:left="200"/>
      </w:pPr>
      <w:r>
        <w:rPr>
          <w:b w:val="false"/>
          <w:bCs w:val="false"/>
          <w:i w:val="false"/>
          <w:iCs w:val="false"/>
          <w:sz w:val="20"/>
          <w:szCs w:val="20"/>
        </w:rPr>
        <w:t xml:space="preserve">· Action timing (Ludolph) ve action variability</w:t>
      </w:r>
    </w:p>
    <w:p>
      <w:pPr>
        <w:spacing w:after="120" w:before="0"/>
        <w:ind w:left="200"/>
      </w:pPr>
      <w:r>
        <w:rPr>
          <w:b w:val="false"/>
          <w:bCs w:val="false"/>
          <w:i w:val="false"/>
          <w:iCs w:val="false"/>
          <w:sz w:val="20"/>
          <w:szCs w:val="20"/>
        </w:rPr>
        <w:t xml:space="preserve">· Karar istatistiği: within-subject non-parametrik testler, ortogonal lineer ve kuadratik kontrast</w:t>
      </w:r>
    </w:p>
    <w:p>
      <w:pPr>
        <w:spacing w:after="100" w:before="0"/>
      </w:pPr>
      <w:r>
        <w:rPr>
          <w:b w:val="false"/>
          <w:bCs w:val="false"/>
          <w:i w:val="false"/>
          <w:iCs w:val="false"/>
          <w:sz w:val="20"/>
          <w:szCs w:val="20"/>
        </w:rPr>
        <w:t xml:space="preserve">Ana deney için eklenmesi gerekenler:</w:t>
      </w:r>
    </w:p>
    <w:p>
      <w:pPr>
        <w:spacing w:after="40" w:before="0"/>
        <w:ind w:left="200"/>
      </w:pPr>
      <w:r>
        <w:rPr>
          <w:b w:val="false"/>
          <w:bCs w:val="false"/>
          <w:i w:val="false"/>
          <w:iCs w:val="false"/>
          <w:sz w:val="20"/>
          <w:szCs w:val="20"/>
        </w:rPr>
        <w:t xml:space="preserve">· Adaptation için trial-by-trial state-space model (learning rate ve retention katsayısının kestirimi)</w:t>
      </w:r>
    </w:p>
    <w:p>
      <w:pPr>
        <w:spacing w:after="40" w:before="0"/>
        <w:ind w:left="200"/>
      </w:pPr>
      <w:r>
        <w:rPr>
          <w:b w:val="false"/>
          <w:bCs w:val="false"/>
          <w:i w:val="false"/>
          <w:iCs w:val="false"/>
          <w:sz w:val="20"/>
          <w:szCs w:val="20"/>
        </w:rPr>
        <w:t xml:space="preserve">· Retention ve transfer bloklarının karşılaştırması, aftereffect kestirimi</w:t>
      </w:r>
    </w:p>
    <w:p>
      <w:pPr>
        <w:spacing w:after="40" w:before="0"/>
        <w:ind w:left="200"/>
      </w:pPr>
      <w:r>
        <w:rPr>
          <w:b w:val="false"/>
          <w:bCs w:val="false"/>
          <w:i w:val="false"/>
          <w:iCs w:val="false"/>
          <w:sz w:val="20"/>
          <w:szCs w:val="20"/>
        </w:rPr>
        <w:t xml:space="preserve">· Motor variability ölçüleri: trial-to-trial variability'nin yapısı (lag-1 autocorrelation, sample entropy) ve kontrol tarafındaki variability</w:t>
      </w:r>
    </w:p>
    <w:p>
      <w:pPr>
        <w:spacing w:after="140" w:before="0"/>
        <w:ind w:left="200"/>
      </w:pPr>
      <w:r>
        <w:rPr>
          <w:b w:val="false"/>
          <w:bCs w:val="false"/>
          <w:i w:val="false"/>
          <w:iCs w:val="false"/>
          <w:sz w:val="20"/>
          <w:szCs w:val="20"/>
        </w:rPr>
        <w:t xml:space="preserve">· Güç analizi (pilotun eksik bıraktığı iş)</w:t>
      </w:r>
    </w:p>
    <w:p>
      <w:pPr>
        <w:spacing w:after="100" w:before="0"/>
      </w:pPr>
      <w:r>
        <w:rPr>
          <w:b w:val="false"/>
          <w:bCs w:val="false"/>
          <w:i/>
          <w:iCs/>
          <w:color w:val="666666"/>
          <w:sz w:val="17"/>
          <w:szCs w:val="17"/>
        </w:rPr>
        <w:t xml:space="preserve">Kaynakların tamamı, her birinin bulgusu ve bizim açımızdan ne ifade ettiği: Literature/Kaynak_Kaydi.docx</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2026-09-01T19:32:57.577Z</dcterms:created>
  <dcterms:modified xsi:type="dcterms:W3CDTF">2026-09-01T19:32:57.605Z</dcterms:modified>
</cp:coreProperties>
</file>

<file path=docProps/custom.xml><?xml version="1.0" encoding="utf-8"?>
<Properties xmlns="http://schemas.openxmlformats.org/officeDocument/2006/custom-properties" xmlns:vt="http://schemas.openxmlformats.org/officeDocument/2006/docPropsVTypes"/>
</file>