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65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logo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6548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jc w:val="center"/>
      </w:pPr>
      <w:r>
        <w:rPr>
          <w:b/>
          <w:color w:val="004080"/>
          <w:sz w:val="60"/>
        </w:rPr>
        <w:t>Cruscotto HR</w:t>
      </w:r>
    </w:p>
    <w:p>
      <w:pPr>
        <w:jc w:val="center"/>
      </w:pPr>
      <w:r>
        <w:rPr>
          <w:sz w:val="36"/>
        </w:rPr>
        <w:t>Resoconto delle attività di sviluppo</w:t>
      </w:r>
    </w:p>
    <w:p>
      <w:pPr>
        <w:jc w:val="center"/>
      </w:pPr>
      <w:r>
        <w:rPr>
          <w:color w:val="555F6B"/>
          <w:sz w:val="28"/>
        </w:rPr>
        <w:t>Agosto – Settembre 2026</w:t>
      </w:r>
    </w:p>
    <w:p/>
    <w:p/>
    <w:p/>
    <w:p/>
    <w:p/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2268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Voce</w:t>
            </w:r>
          </w:p>
        </w:tc>
        <w:tc>
          <w:tcPr>
            <w:tcW w:type="dxa" w:w="7087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Dettaglio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Prodotto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Cruscotto HR — Sistema di Monitoraggio HR della Pubblica Amministrazione</w:t>
            </w:r>
          </w:p>
        </w:tc>
      </w:tr>
      <w:tr>
        <w:tc>
          <w:tcPr>
            <w:tcW w:type="dxa" w:w="2268"/>
            <w:shd w:val="clear" w:color="auto" w:fill="EEF3F8"/>
          </w:tcPr>
          <w:p>
            <w:r/>
            <w:r>
              <w:rPr>
                <w:b/>
                <w:sz w:val="20"/>
              </w:rPr>
              <w:t>Periodo</w:t>
            </w:r>
          </w:p>
        </w:tc>
        <w:tc>
          <w:tcPr>
            <w:tcW w:type="dxa" w:w="7087"/>
            <w:shd w:val="clear" w:color="auto" w:fill="EEF3F8"/>
          </w:tcPr>
          <w:p>
            <w:r/>
            <w:r>
              <w:rPr>
                <w:sz w:val="20"/>
              </w:rPr>
              <w:t>25 agosto – 29 settembre 2026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Contenuto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Elenco dettagliato delle attività svolte, per area e in ordine cronologico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  <w:color w:val="004080"/>
        </w:rPr>
        <w:t>Sintesi</w:t>
      </w:r>
    </w:p>
    <w:p>
      <w:r>
        <w:t>Nel periodo il Cruscotto è passato da prototipo dimostrativo ad applicazione collegata ai dati reali, con accesso aziendale, profilazione per ente, area di amministrazione e strato di protezione dei dati. I risultati principali:</w:t>
      </w:r>
    </w:p>
    <w:p>
      <w:pPr>
        <w:pStyle w:val="ListBullet"/>
      </w:pPr>
      <w:r>
        <w:t>Acquisizione del prototipo e sua trasformazione in un'applicazione strutturata, manutenibile e verificabile.</w:t>
      </w:r>
    </w:p>
    <w:p>
      <w:pPr>
        <w:pStyle w:val="ListBullet"/>
      </w:pPr>
      <w:r>
        <w:t>Collegamento alla base dati reale: 15 viste di compatibilità costruite e validate sui dati effettivi, con mappatura completa di grafici, tabelle e chiavi ente.</w:t>
      </w:r>
    </w:p>
    <w:p>
      <w:pPr>
        <w:pStyle w:val="ListBullet"/>
      </w:pPr>
      <w:r>
        <w:t>Conto Annuale interamente su dati reali: 12 schede su 12, con filtri dinamici a cascata e selettore ente.</w:t>
      </w:r>
    </w:p>
    <w:p>
      <w:pPr>
        <w:pStyle w:val="ListBullet"/>
      </w:pPr>
      <w:r>
        <w:t>Accesso con credenziali aziendali (single sign-on) e profilazione: DFP, amministratore, responsabile HR di ente, con perimetro dei dati per codice fiscale.</w:t>
      </w:r>
    </w:p>
    <w:p>
      <w:pPr>
        <w:pStyle w:val="ListBullet"/>
      </w:pPr>
      <w:r>
        <w:t>Strato di protezione dei dati tra applicazione e base dati, attivato in staging.</w:t>
      </w:r>
    </w:p>
    <w:p>
      <w:pPr>
        <w:pStyle w:val="ListBullet"/>
      </w:pPr>
      <w:r>
        <w:t>Pannello di amministrazione operativo: attivazione delle schede, statistiche d'uso e registri di accessi, eventi ed errori.</w:t>
      </w:r>
    </w:p>
    <w:p>
      <w:pPr>
        <w:pStyle w:val="ListBullet"/>
      </w:pPr>
      <w:r>
        <w:t>Meccanismo di aggiornamento sicuro delle versioni e identità grafica (font, favicon).</w:t>
      </w:r>
    </w:p>
    <w:p>
      <w:pPr>
        <w:pStyle w:val="ListBullet"/>
      </w:pPr>
      <w:r>
        <w:t>Documentazione: report tecnici per committente e sistemisti e wiki di progetto con manuale utente.</w:t>
      </w:r>
    </w:p>
    <w:p/>
    <w:p>
      <w:pPr>
        <w:pStyle w:val="Heading2"/>
      </w:pPr>
      <w:r>
        <w:rPr>
          <w:rFonts w:ascii="Calibri" w:hAnsi="Calibri"/>
          <w:color w:val="004080"/>
        </w:rPr>
        <w:t>Il periodo in numeri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6520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Indicatore</w:t>
            </w:r>
          </w:p>
        </w:tc>
        <w:tc>
          <w:tcPr>
            <w:tcW w:type="dxa" w:w="2835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Valore</w:t>
            </w:r>
          </w:p>
        </w:tc>
      </w:tr>
      <w:tr>
        <w:tc>
          <w:tcPr>
            <w:tcW w:type="dxa" w:w="6520"/>
          </w:tcPr>
          <w:p>
            <w:r/>
            <w:r>
              <w:rPr>
                <w:b/>
                <w:sz w:val="20"/>
              </w:rPr>
              <w:t>Interventi registrati nel periodo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oltre 120</w:t>
            </w:r>
          </w:p>
        </w:tc>
      </w:tr>
      <w:tr>
        <w:tc>
          <w:tcPr>
            <w:tcW w:type="dxa" w:w="6520"/>
            <w:shd w:val="clear" w:color="auto" w:fill="EEF3F8"/>
          </w:tcPr>
          <w:p>
            <w:r/>
            <w:r>
              <w:rPr>
                <w:b/>
                <w:sz w:val="20"/>
              </w:rPr>
              <w:t>Schede Conto Annuale collegate ai dati reali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12 su 12</w:t>
            </w:r>
          </w:p>
        </w:tc>
      </w:tr>
      <w:tr>
        <w:tc>
          <w:tcPr>
            <w:tcW w:type="dxa" w:w="6520"/>
          </w:tcPr>
          <w:p>
            <w:r/>
            <w:r>
              <w:rPr>
                <w:b/>
                <w:sz w:val="20"/>
              </w:rPr>
              <w:t>Viste dati di compatibilità prodotte e validate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15 (più 13 viste predisposte)</w:t>
            </w:r>
          </w:p>
        </w:tc>
      </w:tr>
      <w:tr>
        <w:tc>
          <w:tcPr>
            <w:tcW w:type="dxa" w:w="6520"/>
            <w:shd w:val="clear" w:color="auto" w:fill="EEF3F8"/>
          </w:tcPr>
          <w:p>
            <w:r/>
            <w:r>
              <w:rPr>
                <w:b/>
                <w:sz w:val="20"/>
              </w:rPr>
              <w:t>Tabelle mappate rispetto ai grafici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54</w:t>
            </w:r>
          </w:p>
        </w:tc>
      </w:tr>
      <w:tr>
        <w:tc>
          <w:tcPr>
            <w:tcW w:type="dxa" w:w="6520"/>
          </w:tcPr>
          <w:p>
            <w:r/>
            <w:r>
              <w:rPr>
                <w:b/>
                <w:sz w:val="20"/>
              </w:rPr>
              <w:t>Componenti riorganizzati sul livello di servizio unico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46</w:t>
            </w:r>
          </w:p>
        </w:tc>
      </w:tr>
      <w:tr>
        <w:tc>
          <w:tcPr>
            <w:tcW w:type="dxa" w:w="6520"/>
            <w:shd w:val="clear" w:color="auto" w:fill="EEF3F8"/>
          </w:tcPr>
          <w:p>
            <w:r/>
            <w:r>
              <w:rPr>
                <w:b/>
                <w:sz w:val="20"/>
              </w:rPr>
              <w:t>Servizi di accesso ai dati creati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18</w:t>
            </w:r>
          </w:p>
        </w:tc>
      </w:tr>
      <w:tr>
        <w:tc>
          <w:tcPr>
            <w:tcW w:type="dxa" w:w="6520"/>
          </w:tcPr>
          <w:p>
            <w:r/>
            <w:r>
              <w:rPr>
                <w:b/>
                <w:sz w:val="20"/>
              </w:rPr>
              <w:t>File più grande dell'applicazione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da 1.189 a 340 righe</w:t>
            </w:r>
          </w:p>
        </w:tc>
      </w:tr>
      <w:tr>
        <w:tc>
          <w:tcPr>
            <w:tcW w:type="dxa" w:w="6520"/>
            <w:shd w:val="clear" w:color="auto" w:fill="EEF3F8"/>
          </w:tcPr>
          <w:p>
            <w:r/>
            <w:r>
              <w:rPr>
                <w:b/>
                <w:sz w:val="20"/>
              </w:rPr>
              <w:t>Caricamento iniziale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da pacchetto unico di ~1,9 MB a pagine a richiesta</w:t>
            </w:r>
          </w:p>
        </w:tc>
      </w:tr>
      <w:tr>
        <w:tc>
          <w:tcPr>
            <w:tcW w:type="dxa" w:w="6520"/>
          </w:tcPr>
          <w:p>
            <w:r/>
            <w:r>
              <w:rPr>
                <w:b/>
                <w:sz w:val="20"/>
              </w:rPr>
              <w:t>Errori rilevati dai controlli automatici del codice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da 7 a 0</w:t>
            </w:r>
          </w:p>
        </w:tc>
      </w:tr>
      <w:tr>
        <w:tc>
          <w:tcPr>
            <w:tcW w:type="dxa" w:w="6520"/>
            <w:shd w:val="clear" w:color="auto" w:fill="EEF3F8"/>
          </w:tcPr>
          <w:p>
            <w:r/>
            <w:r>
              <w:rPr>
                <w:b/>
                <w:sz w:val="20"/>
              </w:rPr>
              <w:t>Documenti tecnici consegnati</w:t>
            </w:r>
          </w:p>
        </w:tc>
        <w:tc>
          <w:tcPr>
            <w:tcW w:type="dxa" w:w="2835"/>
            <w:shd w:val="clear" w:color="auto" w:fill="EEF3F8"/>
          </w:tcPr>
          <w:p>
            <w:r/>
            <w:r>
              <w:rPr>
                <w:sz w:val="20"/>
              </w:rPr>
              <w:t>oltre 15 (Markdown e PDF)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  <w:color w:val="004080"/>
        </w:rPr>
        <w:t>Dal prototipo all'applicazione</w:t>
      </w:r>
    </w:p>
    <w:p>
      <w:r>
        <w:t>Il punto di partenza era un prototipo realizzato rapidamente per mostrare l'idea: valido per far vedere il funzionamento, ma non adatto a essere mantenuto ed evoluto nel tempo né a lavorare con dati reali e utenti reali. Il lavoro di agosto e settembre lo ha trasformato in un'applicazione strutturata, mantenendo invariato ciò che l'utente vede.</w:t>
      </w:r>
    </w:p>
    <w:p>
      <w:pPr>
        <w:pStyle w:val="Heading2"/>
      </w:pPr>
      <w:r>
        <w:rPr>
          <w:rFonts w:ascii="Calibri" w:hAnsi="Calibri"/>
          <w:color w:val="004080"/>
        </w:rPr>
        <w:t>La situazione di partenza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2551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Problema</w:t>
            </w:r>
          </w:p>
        </w:tc>
        <w:tc>
          <w:tcPr>
            <w:tcW w:type="dxa" w:w="6803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Perché era un problema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20"/>
              </w:rPr>
              <w:t>Accesso ai dati sparso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La base dati veniva interrogata direttamente da circa 46 componenti grafici: ogni modifica a una tabella o a una query costringeva a toccare decine di file e non era possibile verificare la logica in modo isolato.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/>
            <w:r>
              <w:rPr>
                <w:b/>
                <w:sz w:val="20"/>
              </w:rPr>
              <w:t>Dati finti</w:t>
            </w:r>
          </w:p>
        </w:tc>
        <w:tc>
          <w:tcPr>
            <w:tcW w:type="dxa" w:w="6803"/>
            <w:shd w:val="clear" w:color="auto" w:fill="EEF3F8"/>
          </w:tcPr>
          <w:p>
            <w:r/>
            <w:r>
              <w:rPr>
                <w:sz w:val="20"/>
              </w:rPr>
              <w:t>Molte sezioni mostravano numeri inventati scritti nel codice, non i dati reali.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20"/>
              </w:rPr>
              <w:t>Indirizzi e chiavi nel codice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Indirizzi del database scritti a mano: l'applicazione non funzionava fuori dal computer dello sviluppatore e non poteva passare da sviluppo a produzione senza modifiche al codice.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/>
            <w:r>
              <w:rPr>
                <w:b/>
                <w:sz w:val="20"/>
              </w:rPr>
              <w:t>Logica mescolata alla grafica</w:t>
            </w:r>
          </w:p>
        </w:tc>
        <w:tc>
          <w:tcPr>
            <w:tcW w:type="dxa" w:w="6803"/>
            <w:shd w:val="clear" w:color="auto" w:fill="EEF3F8"/>
          </w:tcPr>
          <w:p>
            <w:r/>
            <w:r>
              <w:rPr>
                <w:sz w:val="20"/>
              </w:rPr>
              <w:t>Interrogazioni e calcoli dentro i componenti di interfaccia: codice difficile da leggere, correggere e riutilizzare.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20"/>
              </w:rPr>
              <w:t>Duplicazione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Griglie di indicatori, stati di caricamento e stili dei grafici copiati in ogni sezione: ogni ritocco andava ripetuto a mano.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/>
            <w:r>
              <w:rPr>
                <w:b/>
                <w:sz w:val="20"/>
              </w:rPr>
              <w:t>File troppo grandi</w:t>
            </w:r>
          </w:p>
        </w:tc>
        <w:tc>
          <w:tcPr>
            <w:tcW w:type="dxa" w:w="6803"/>
            <w:shd w:val="clear" w:color="auto" w:fill="EEF3F8"/>
          </w:tcPr>
          <w:p>
            <w:r/>
            <w:r>
              <w:rPr>
                <w:sz w:val="20"/>
              </w:rPr>
              <w:t>Alcuni file facevano «tutto» (fino a 1.189 righe).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20"/>
              </w:rPr>
              <w:t>Nessun controllo di qualità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Assenza di regole automatiche e test: facile introdurre regressioni senza accorgersene.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/>
            <w:r>
              <w:rPr>
                <w:b/>
                <w:sz w:val="20"/>
              </w:rPr>
              <w:t>Caricamento lento</w:t>
            </w:r>
          </w:p>
        </w:tc>
        <w:tc>
          <w:tcPr>
            <w:tcW w:type="dxa" w:w="6803"/>
            <w:shd w:val="clear" w:color="auto" w:fill="EEF3F8"/>
          </w:tcPr>
          <w:p>
            <w:r/>
            <w:r>
              <w:rPr>
                <w:sz w:val="20"/>
              </w:rPr>
              <w:t>Un unico pacchetto di circa 1,9 MB da scaricare alla prima apertura.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20"/>
              </w:rPr>
              <w:t>Nessuna gestione degli errori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Un errore in un grafico poteva lasciare la pagina bianca; gli errori di caricamento non venivano segnalati.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/>
            <w:r>
              <w:rPr>
                <w:b/>
                <w:sz w:val="20"/>
              </w:rPr>
              <w:t>Accesso dimostrativo</w:t>
            </w:r>
          </w:p>
        </w:tc>
        <w:tc>
          <w:tcPr>
            <w:tcW w:type="dxa" w:w="6803"/>
            <w:shd w:val="clear" w:color="auto" w:fill="EEF3F8"/>
          </w:tcPr>
          <w:p>
            <w:r/>
            <w:r>
              <w:rPr>
                <w:sz w:val="20"/>
              </w:rPr>
              <w:t>Scelta del profilo da un elenco, senza autenticazione reale né perimetro dei dati.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004080"/>
        </w:rPr>
        <w:t>La nuova architettura a livelli</w:t>
      </w:r>
    </w:p>
    <w:p>
      <w:r>
        <w:t>L'applicazione è stata organizzata in livelli con responsabilità separate. Ogni livello parla solo con quello successivo: il percorso di un dato è sempre Componente → Hook → Service → strato di protezione → base dati.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2268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Livello</w:t>
            </w:r>
          </w:p>
        </w:tc>
        <w:tc>
          <w:tcPr>
            <w:tcW w:type="dxa" w:w="4819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Cosa fa</w:t>
            </w:r>
          </w:p>
        </w:tc>
        <w:tc>
          <w:tcPr>
            <w:tcW w:type="dxa" w:w="2268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Esempio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Componente (presentazione)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Mostra i dati: card, grafici, tabelle, filtri. Non sa da dove arrivano i dati né come si calcolano.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La card «Personale in servizio»</w:t>
            </w:r>
          </w:p>
        </w:tc>
      </w:tr>
      <w:tr>
        <w:tc>
          <w:tcPr>
            <w:tcW w:type="dxa" w:w="2268"/>
            <w:shd w:val="clear" w:color="auto" w:fill="EEF3F8"/>
          </w:tcPr>
          <w:p>
            <w:r/>
            <w:r>
              <w:rPr>
                <w:b/>
                <w:sz w:val="20"/>
              </w:rPr>
              <w:t>Hook (orchestrazione)</w:t>
            </w:r>
          </w:p>
        </w:tc>
        <w:tc>
          <w:tcPr>
            <w:tcW w:type="dxa" w:w="4819"/>
            <w:shd w:val="clear" w:color="auto" w:fill="EEF3F8"/>
          </w:tcPr>
          <w:p>
            <w:r/>
            <w:r>
              <w:rPr>
                <w:sz w:val="20"/>
              </w:rPr>
              <w:t>Collega il componente ai dati: legge i filtri attivi, avvia il caricamento, gestisce attesa, errori e memoria temporanea (cache), evita richieste ripetute.</w:t>
            </w:r>
          </w:p>
        </w:tc>
        <w:tc>
          <w:tcPr>
            <w:tcW w:type="dxa" w:w="2268"/>
            <w:shd w:val="clear" w:color="auto" w:fill="EEF3F8"/>
          </w:tcPr>
          <w:p>
            <w:r/>
            <w:r>
              <w:rPr>
                <w:sz w:val="20"/>
              </w:rPr>
              <w:t>«Dammi i dati della scheda Età per i filtri scelti»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Service (accesso ai dati)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Unico punto che parla con la base dati: prepara i parametri (anno, ente, comparto…), chiama le funzioni di calcolo, trasforma il risultato nel formato atteso dall'interfaccia.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Chiamata alla funzione di calcolo dell'età e conversione dei campi</w:t>
            </w:r>
          </w:p>
        </w:tc>
      </w:tr>
      <w:tr>
        <w:tc>
          <w:tcPr>
            <w:tcW w:type="dxa" w:w="2268"/>
            <w:shd w:val="clear" w:color="auto" w:fill="EEF3F8"/>
          </w:tcPr>
          <w:p>
            <w:r/>
            <w:r>
              <w:rPr>
                <w:b/>
                <w:sz w:val="20"/>
              </w:rPr>
              <w:t>Configurazione</w:t>
            </w:r>
          </w:p>
        </w:tc>
        <w:tc>
          <w:tcPr>
            <w:tcW w:type="dxa" w:w="4819"/>
            <w:shd w:val="clear" w:color="auto" w:fill="EEF3F8"/>
          </w:tcPr>
          <w:p>
            <w:r/>
            <w:r>
              <w:rPr>
                <w:sz w:val="20"/>
              </w:rPr>
              <w:t>Indirizzi e impostazioni letti dall'ambiente (sviluppo, staging, produzione), mai scritti nel codice.</w:t>
            </w:r>
          </w:p>
        </w:tc>
        <w:tc>
          <w:tcPr>
            <w:tcW w:type="dxa" w:w="2268"/>
            <w:shd w:val="clear" w:color="auto" w:fill="EEF3F8"/>
          </w:tcPr>
          <w:p>
            <w:r/>
            <w:r>
              <w:rPr>
                <w:sz w:val="20"/>
              </w:rPr>
              <w:t>Indirizzo della base dati e di Keycloak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Strato di protezione e base dati</w:t>
            </w:r>
          </w:p>
        </w:tc>
        <w:tc>
          <w:tcPr>
            <w:tcW w:type="dxa" w:w="4819"/>
          </w:tcPr>
          <w:p>
            <w:r/>
            <w:r>
              <w:rPr>
                <w:sz w:val="20"/>
              </w:rPr>
              <w:t>Verifica l'identità dell'utente e restituisce solo i dati del suo perimetro.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Un responsabile HR vede solo il proprio ente</w:t>
            </w:r>
          </w:p>
        </w:tc>
      </w:tr>
    </w:tbl>
    <w:p/>
    <w:p>
      <w:r>
        <w:t>Perché conta: se cambia una tabella o una funzione di calcolo si interviene su un solo servizio, non su decine di schermate; la logica si può verificare con test automatici; le nuove schede si costruiscono riutilizzando gli stessi mattoni. Una regola automatica impedisce di aggirare questa organizzazione.</w:t>
      </w:r>
    </w:p>
    <w:p>
      <w:pPr>
        <w:pStyle w:val="Heading2"/>
      </w:pPr>
      <w:r>
        <w:rPr>
          <w:rFonts w:ascii="Calibri" w:hAnsi="Calibri"/>
          <w:color w:val="004080"/>
        </w:rPr>
        <w:t>Confronto prima / dopo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2154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Aspetto</w:t>
            </w:r>
          </w:p>
        </w:tc>
        <w:tc>
          <w:tcPr>
            <w:tcW w:type="dxa" w:w="3175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Prototipo</w:t>
            </w:r>
          </w:p>
        </w:tc>
        <w:tc>
          <w:tcPr>
            <w:tcW w:type="dxa" w:w="4025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Applicazione attuale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/>
                <w:sz w:val="20"/>
              </w:rPr>
              <w:t>Accesso ai dati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  <w:t>Dentro ~46 componenti</w:t>
            </w:r>
          </w:p>
        </w:tc>
        <w:tc>
          <w:tcPr>
            <w:tcW w:type="dxa" w:w="4025"/>
          </w:tcPr>
          <w:p>
            <w:r/>
            <w:r>
              <w:rPr>
                <w:sz w:val="20"/>
              </w:rPr>
              <w:t>Centralizzato in 18 servizi</w:t>
            </w:r>
          </w:p>
        </w:tc>
      </w:tr>
      <w:tr>
        <w:tc>
          <w:tcPr>
            <w:tcW w:type="dxa" w:w="2154"/>
            <w:shd w:val="clear" w:color="auto" w:fill="EEF3F8"/>
          </w:tcPr>
          <w:p>
            <w:r/>
            <w:r>
              <w:rPr>
                <w:b/>
                <w:sz w:val="20"/>
              </w:rPr>
              <w:t>Dati delle sezioni</w:t>
            </w:r>
          </w:p>
        </w:tc>
        <w:tc>
          <w:tcPr>
            <w:tcW w:type="dxa" w:w="3175"/>
            <w:shd w:val="clear" w:color="auto" w:fill="EEF3F8"/>
          </w:tcPr>
          <w:p>
            <w:r/>
            <w:r>
              <w:rPr>
                <w:sz w:val="20"/>
              </w:rPr>
              <w:t>In gran parte dimostrativi</w:t>
            </w:r>
          </w:p>
        </w:tc>
        <w:tc>
          <w:tcPr>
            <w:tcW w:type="dxa" w:w="4025"/>
            <w:shd w:val="clear" w:color="auto" w:fill="EEF3F8"/>
          </w:tcPr>
          <w:p>
            <w:r/>
            <w:r>
              <w:rPr>
                <w:sz w:val="20"/>
              </w:rPr>
              <w:t>Reali; i dimostrativi residui sono segnalati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/>
                <w:sz w:val="20"/>
              </w:rPr>
              <w:t>Configurazione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  <w:t>Indirizzi scritti nel codice</w:t>
            </w:r>
          </w:p>
        </w:tc>
        <w:tc>
          <w:tcPr>
            <w:tcW w:type="dxa" w:w="4025"/>
          </w:tcPr>
          <w:p>
            <w:r/>
            <w:r>
              <w:rPr>
                <w:sz w:val="20"/>
              </w:rPr>
              <w:t>Un'unica configurazione per ambiente</w:t>
            </w:r>
          </w:p>
        </w:tc>
      </w:tr>
      <w:tr>
        <w:tc>
          <w:tcPr>
            <w:tcW w:type="dxa" w:w="2154"/>
            <w:shd w:val="clear" w:color="auto" w:fill="EEF3F8"/>
          </w:tcPr>
          <w:p>
            <w:r/>
            <w:r>
              <w:rPr>
                <w:b/>
                <w:sz w:val="20"/>
              </w:rPr>
              <w:t>Interfaccia</w:t>
            </w:r>
          </w:p>
        </w:tc>
        <w:tc>
          <w:tcPr>
            <w:tcW w:type="dxa" w:w="3175"/>
            <w:shd w:val="clear" w:color="auto" w:fill="EEF3F8"/>
          </w:tcPr>
          <w:p>
            <w:r/>
            <w:r>
              <w:rPr>
                <w:sz w:val="20"/>
              </w:rPr>
              <w:t>Elementi duplicati in ogni sezione</w:t>
            </w:r>
          </w:p>
        </w:tc>
        <w:tc>
          <w:tcPr>
            <w:tcW w:type="dxa" w:w="4025"/>
            <w:shd w:val="clear" w:color="auto" w:fill="EEF3F8"/>
          </w:tcPr>
          <w:p>
            <w:r/>
            <w:r>
              <w:rPr>
                <w:sz w:val="20"/>
              </w:rPr>
              <w:t>Componenti riutilizzabili e tema comune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/>
                <w:sz w:val="20"/>
              </w:rPr>
              <w:t>Dimensione dei file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  <w:t>Fino a 1.189 righe</w:t>
            </w:r>
          </w:p>
        </w:tc>
        <w:tc>
          <w:tcPr>
            <w:tcW w:type="dxa" w:w="4025"/>
          </w:tcPr>
          <w:p>
            <w:r/>
            <w:r>
              <w:rPr>
                <w:sz w:val="20"/>
              </w:rPr>
              <w:t>Il più grande ridotto a 340 righe</w:t>
            </w:r>
          </w:p>
        </w:tc>
      </w:tr>
      <w:tr>
        <w:tc>
          <w:tcPr>
            <w:tcW w:type="dxa" w:w="2154"/>
            <w:shd w:val="clear" w:color="auto" w:fill="EEF3F8"/>
          </w:tcPr>
          <w:p>
            <w:r/>
            <w:r>
              <w:rPr>
                <w:b/>
                <w:sz w:val="20"/>
              </w:rPr>
              <w:t>Caricamento</w:t>
            </w:r>
          </w:p>
        </w:tc>
        <w:tc>
          <w:tcPr>
            <w:tcW w:type="dxa" w:w="3175"/>
            <w:shd w:val="clear" w:color="auto" w:fill="EEF3F8"/>
          </w:tcPr>
          <w:p>
            <w:r/>
            <w:r>
              <w:rPr>
                <w:sz w:val="20"/>
              </w:rPr>
              <w:t>Pacchetto unico ~1,9 MB</w:t>
            </w:r>
          </w:p>
        </w:tc>
        <w:tc>
          <w:tcPr>
            <w:tcW w:type="dxa" w:w="4025"/>
            <w:shd w:val="clear" w:color="auto" w:fill="EEF3F8"/>
          </w:tcPr>
          <w:p>
            <w:r/>
            <w:r>
              <w:rPr>
                <w:sz w:val="20"/>
              </w:rPr>
              <w:t>Pagine caricate a richiesta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/>
                <w:sz w:val="20"/>
              </w:rPr>
              <w:t>Errori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  <w:t>Pagina bianca, errori silenziosi</w:t>
            </w:r>
          </w:p>
        </w:tc>
        <w:tc>
          <w:tcPr>
            <w:tcW w:type="dxa" w:w="4025"/>
          </w:tcPr>
          <w:p>
            <w:r/>
            <w:r>
              <w:rPr>
                <w:sz w:val="20"/>
              </w:rPr>
              <w:t>Protezione dagli errori e avvisi all'utente</w:t>
            </w:r>
          </w:p>
        </w:tc>
      </w:tr>
      <w:tr>
        <w:tc>
          <w:tcPr>
            <w:tcW w:type="dxa" w:w="2154"/>
            <w:shd w:val="clear" w:color="auto" w:fill="EEF3F8"/>
          </w:tcPr>
          <w:p>
            <w:r/>
            <w:r>
              <w:rPr>
                <w:b/>
                <w:sz w:val="20"/>
              </w:rPr>
              <w:t>Qualità</w:t>
            </w:r>
          </w:p>
        </w:tc>
        <w:tc>
          <w:tcPr>
            <w:tcW w:type="dxa" w:w="3175"/>
            <w:shd w:val="clear" w:color="auto" w:fill="EEF3F8"/>
          </w:tcPr>
          <w:p>
            <w:r/>
            <w:r>
              <w:rPr>
                <w:sz w:val="20"/>
              </w:rPr>
              <w:t>Nessun controllo</w:t>
            </w:r>
          </w:p>
        </w:tc>
        <w:tc>
          <w:tcPr>
            <w:tcW w:type="dxa" w:w="4025"/>
            <w:shd w:val="clear" w:color="auto" w:fill="EEF3F8"/>
          </w:tcPr>
          <w:p>
            <w:r/>
            <w:r>
              <w:rPr>
                <w:sz w:val="20"/>
              </w:rPr>
              <w:t>Regole automatiche (0 errori), formattazione su 175 file, test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/>
                <w:sz w:val="20"/>
              </w:rPr>
              <w:t>Tipi di dato</w:t>
            </w:r>
          </w:p>
        </w:tc>
        <w:tc>
          <w:tcPr>
            <w:tcW w:type="dxa" w:w="3175"/>
          </w:tcPr>
          <w:p>
            <w:r/>
            <w:r>
              <w:rPr>
                <w:sz w:val="20"/>
              </w:rPr>
              <w:t>Generici, non controllati</w:t>
            </w:r>
          </w:p>
        </w:tc>
        <w:tc>
          <w:tcPr>
            <w:tcW w:type="dxa" w:w="4025"/>
          </w:tcPr>
          <w:p>
            <w:r/>
            <w:r>
              <w:rPr>
                <w:sz w:val="20"/>
              </w:rPr>
              <w:t>Servizi principali tipizzati sulla base dati</w:t>
            </w:r>
          </w:p>
        </w:tc>
      </w:tr>
      <w:tr>
        <w:tc>
          <w:tcPr>
            <w:tcW w:type="dxa" w:w="2154"/>
            <w:shd w:val="clear" w:color="auto" w:fill="EEF3F8"/>
          </w:tcPr>
          <w:p>
            <w:r/>
            <w:r>
              <w:rPr>
                <w:b/>
                <w:sz w:val="20"/>
              </w:rPr>
              <w:t>Accesso</w:t>
            </w:r>
          </w:p>
        </w:tc>
        <w:tc>
          <w:tcPr>
            <w:tcW w:type="dxa" w:w="3175"/>
            <w:shd w:val="clear" w:color="auto" w:fill="EEF3F8"/>
          </w:tcPr>
          <w:p>
            <w:r/>
            <w:r>
              <w:rPr>
                <w:sz w:val="20"/>
              </w:rPr>
              <w:t>Profilo scelto da elenco</w:t>
            </w:r>
          </w:p>
        </w:tc>
        <w:tc>
          <w:tcPr>
            <w:tcW w:type="dxa" w:w="4025"/>
            <w:shd w:val="clear" w:color="auto" w:fill="EEF3F8"/>
          </w:tcPr>
          <w:p>
            <w:r/>
            <w:r>
              <w:rPr>
                <w:sz w:val="20"/>
              </w:rPr>
              <w:t>Single sign-on Keycloak, ruoli e perimetro per ente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004080"/>
        </w:rPr>
        <w:t>Difficoltà incontrate e soluzioni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2154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Difficoltà</w:t>
            </w:r>
          </w:p>
        </w:tc>
        <w:tc>
          <w:tcPr>
            <w:tcW w:type="dxa" w:w="3628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Descrizione</w:t>
            </w:r>
          </w:p>
        </w:tc>
        <w:tc>
          <w:tcPr>
            <w:tcW w:type="dxa" w:w="3572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Soluzione adottata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/>
                <w:sz w:val="20"/>
              </w:rPr>
              <w:t>Due anagrafiche enti diverse</w:t>
            </w:r>
          </w:p>
        </w:tc>
        <w:tc>
          <w:tcPr>
            <w:tcW w:type="dxa" w:w="3628"/>
          </w:tcPr>
          <w:p>
            <w:r/>
            <w:r>
              <w:rPr>
                <w:sz w:val="20"/>
              </w:rPr>
              <w:t>Nella base dati esistevano due elenchi di enti con identificativi sovrapposti (gli stessi numeri indicavano enti diversi).</w:t>
            </w:r>
          </w:p>
        </w:tc>
        <w:tc>
          <w:tcPr>
            <w:tcW w:type="dxa" w:w="3572"/>
          </w:tcPr>
          <w:p>
            <w:r/>
            <w:r>
              <w:rPr>
                <w:sz w:val="20"/>
              </w:rPr>
              <w:t>Scelta di un'anagrafica unica e, in seguito, del codice fiscale dell'ente come chiave definitiva.</w:t>
            </w:r>
          </w:p>
        </w:tc>
      </w:tr>
      <w:tr>
        <w:tc>
          <w:tcPr>
            <w:tcW w:type="dxa" w:w="2154"/>
            <w:shd w:val="clear" w:color="auto" w:fill="EEF3F8"/>
          </w:tcPr>
          <w:p>
            <w:r/>
            <w:r>
              <w:rPr>
                <w:b/>
                <w:sz w:val="20"/>
              </w:rPr>
              <w:t>Dati in forma «a dizionario»</w:t>
            </w:r>
          </w:p>
        </w:tc>
        <w:tc>
          <w:tcPr>
            <w:tcW w:type="dxa" w:w="3628"/>
            <w:shd w:val="clear" w:color="auto" w:fill="EEF3F8"/>
          </w:tcPr>
          <w:p>
            <w:r/>
            <w:r>
              <w:rPr>
                <w:sz w:val="20"/>
              </w:rPr>
              <w:t>La base dati reale memorizza gli indicatori come coppie elemento/valore, mentre l'applicazione si aspetta tabelle per ente.</w:t>
            </w:r>
          </w:p>
        </w:tc>
        <w:tc>
          <w:tcPr>
            <w:tcW w:type="dxa" w:w="3572"/>
            <w:shd w:val="clear" w:color="auto" w:fill="EEF3F8"/>
          </w:tcPr>
          <w:p>
            <w:r/>
            <w:r>
              <w:rPr>
                <w:sz w:val="20"/>
              </w:rPr>
              <w:t>Viste di trasformazione che riorganizzano i dati senza modificare l'interfaccia (264 enti, 78 metriche).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/>
                <w:sz w:val="20"/>
              </w:rPr>
              <w:t>Codici diversi tra tabelle</w:t>
            </w:r>
          </w:p>
        </w:tc>
        <w:tc>
          <w:tcPr>
            <w:tcW w:type="dxa" w:w="3628"/>
          </w:tcPr>
          <w:p>
            <w:r/>
            <w:r>
              <w:rPr>
                <w:sz w:val="20"/>
              </w:rPr>
              <w:t>Le causali nei dati usano codici con prefisso (es. A23, C01) diversi da quelli delle tabelle di decodifica.</w:t>
            </w:r>
          </w:p>
        </w:tc>
        <w:tc>
          <w:tcPr>
            <w:tcW w:type="dxa" w:w="3572"/>
          </w:tcPr>
          <w:p>
            <w:r/>
            <w:r>
              <w:rPr>
                <w:sz w:val="20"/>
              </w:rPr>
              <w:t>Tabelle di decodifica dedicate, verificate sui dati reali.</w:t>
            </w:r>
          </w:p>
        </w:tc>
      </w:tr>
      <w:tr>
        <w:tc>
          <w:tcPr>
            <w:tcW w:type="dxa" w:w="2154"/>
            <w:shd w:val="clear" w:color="auto" w:fill="EEF3F8"/>
          </w:tcPr>
          <w:p>
            <w:r/>
            <w:r>
              <w:rPr>
                <w:b/>
                <w:sz w:val="20"/>
              </w:rPr>
              <w:t>Fonti non ancora disponibili</w:t>
            </w:r>
          </w:p>
        </w:tc>
        <w:tc>
          <w:tcPr>
            <w:tcW w:type="dxa" w:w="3628"/>
            <w:shd w:val="clear" w:color="auto" w:fill="EEF3F8"/>
          </w:tcPr>
          <w:p>
            <w:r/>
            <w:r>
              <w:rPr>
                <w:sz w:val="20"/>
              </w:rPr>
              <w:t>InPA, Syllabus, competenze e PTFP non erano presenti negli estratti forniti.</w:t>
            </w:r>
          </w:p>
        </w:tc>
        <w:tc>
          <w:tcPr>
            <w:tcW w:type="dxa" w:w="3572"/>
            <w:shd w:val="clear" w:color="auto" w:fill="EEF3F8"/>
          </w:tcPr>
          <w:p>
            <w:r/>
            <w:r>
              <w:rPr>
                <w:sz w:val="20"/>
              </w:rPr>
              <w:t>Viste predisposte vuote e avviso «dati a scopo dimostrativo» nelle sezioni interessate, in attesa delle fonti.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/>
                <w:sz w:val="20"/>
              </w:rPr>
              <w:t>Accesso Keycloak bloccato dal browser</w:t>
            </w:r>
          </w:p>
        </w:tc>
        <w:tc>
          <w:tcPr>
            <w:tcW w:type="dxa" w:w="3628"/>
          </w:tcPr>
          <w:p>
            <w:r/>
            <w:r>
              <w:rPr>
                <w:sz w:val="20"/>
              </w:rPr>
              <w:t>Il controllo silenzioso della sessione in un riquadro nascosto veniva bloccato dalle politiche di sicurezza del server di identità.</w:t>
            </w:r>
          </w:p>
        </w:tc>
        <w:tc>
          <w:tcPr>
            <w:tcW w:type="dxa" w:w="3572"/>
          </w:tcPr>
          <w:p>
            <w:r/>
            <w:r>
              <w:rPr>
                <w:sz w:val="20"/>
              </w:rPr>
              <w:t>Passaggio al solo flusso con reindirizzamento, più robusto.</w:t>
            </w:r>
          </w:p>
        </w:tc>
      </w:tr>
      <w:tr>
        <w:tc>
          <w:tcPr>
            <w:tcW w:type="dxa" w:w="2154"/>
            <w:shd w:val="clear" w:color="auto" w:fill="EEF3F8"/>
          </w:tcPr>
          <w:p>
            <w:r/>
            <w:r>
              <w:rPr>
                <w:b/>
                <w:sz w:val="20"/>
              </w:rPr>
              <w:t>Token senza informazioni sull'ente</w:t>
            </w:r>
          </w:p>
        </w:tc>
        <w:tc>
          <w:tcPr>
            <w:tcW w:type="dxa" w:w="3628"/>
            <w:shd w:val="clear" w:color="auto" w:fill="EEF3F8"/>
          </w:tcPr>
          <w:p>
            <w:r/>
            <w:r>
              <w:rPr>
                <w:sz w:val="20"/>
              </w:rPr>
              <w:t>Il token di accesso inizialmente non indicava l'ente dell'utente.</w:t>
            </w:r>
          </w:p>
        </w:tc>
        <w:tc>
          <w:tcPr>
            <w:tcW w:type="dxa" w:w="3572"/>
            <w:shd w:val="clear" w:color="auto" w:fill="EEF3F8"/>
          </w:tcPr>
          <w:p>
            <w:r/>
            <w:r>
              <w:rPr>
                <w:sz w:val="20"/>
              </w:rPr>
              <w:t>Contratto dei claim concordato con chi gestisce Keycloak: ruoli e codice fiscale dell'ente (enti_cf).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/>
                <w:sz w:val="20"/>
              </w:rPr>
              <w:t>Orologi dei server non allineati</w:t>
            </w:r>
          </w:p>
        </w:tc>
        <w:tc>
          <w:tcPr>
            <w:tcW w:type="dxa" w:w="3628"/>
          </w:tcPr>
          <w:p>
            <w:r/>
            <w:r>
              <w:rPr>
                <w:sz w:val="20"/>
              </w:rPr>
              <w:t>Lo strato di protezione rifiutava token validi perché l'orologio del server era avanti/indietro di alcuni minuti.</w:t>
            </w:r>
          </w:p>
        </w:tc>
        <w:tc>
          <w:tcPr>
            <w:tcW w:type="dxa" w:w="3572"/>
          </w:tcPr>
          <w:p>
            <w:r/>
            <w:r>
              <w:rPr>
                <w:sz w:val="20"/>
              </w:rPr>
              <w:t>Tolleranza configurabile e richiesta di sincronizzazione oraria al sistemista.</w:t>
            </w:r>
          </w:p>
        </w:tc>
      </w:tr>
      <w:tr>
        <w:tc>
          <w:tcPr>
            <w:tcW w:type="dxa" w:w="2154"/>
            <w:shd w:val="clear" w:color="auto" w:fill="EEF3F8"/>
          </w:tcPr>
          <w:p>
            <w:r/>
            <w:r>
              <w:rPr>
                <w:b/>
                <w:sz w:val="20"/>
              </w:rPr>
              <w:t>Versioni vecchie nei browser</w:t>
            </w:r>
          </w:p>
        </w:tc>
        <w:tc>
          <w:tcPr>
            <w:tcW w:type="dxa" w:w="3628"/>
            <w:shd w:val="clear" w:color="auto" w:fill="EEF3F8"/>
          </w:tcPr>
          <w:p>
            <w:r/>
            <w:r>
              <w:rPr>
                <w:sz w:val="20"/>
              </w:rPr>
              <w:t>Gli utenti continuavano a vedere versioni precedenti (anche l'icona) a causa della memoria del browser.</w:t>
            </w:r>
          </w:p>
        </w:tc>
        <w:tc>
          <w:tcPr>
            <w:tcW w:type="dxa" w:w="3572"/>
            <w:shd w:val="clear" w:color="auto" w:fill="EEF3F8"/>
          </w:tcPr>
          <w:p>
            <w:r/>
            <w:r>
              <w:rPr>
                <w:sz w:val="20"/>
              </w:rPr>
              <w:t>Identificativo di versione, regole di cache e banner «Nuova versione disponibile».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/>
                <w:sz w:val="20"/>
              </w:rPr>
              <w:t>Errori dopo sessioni scadute</w:t>
            </w:r>
          </w:p>
        </w:tc>
        <w:tc>
          <w:tcPr>
            <w:tcW w:type="dxa" w:w="3628"/>
          </w:tcPr>
          <w:p>
            <w:r/>
            <w:r>
              <w:rPr>
                <w:sz w:val="20"/>
              </w:rPr>
              <w:t>Sessioni vecchie generavano errori di autorizzazione diffusi.</w:t>
            </w:r>
          </w:p>
        </w:tc>
        <w:tc>
          <w:tcPr>
            <w:tcW w:type="dxa" w:w="3572"/>
          </w:tcPr>
          <w:p>
            <w:r/>
            <w:r>
              <w:rPr>
                <w:sz w:val="20"/>
              </w:rPr>
              <w:t>Le chiamate amministrative e il tracciamento partono solo dopo un accesso valido.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004080"/>
        </w:rPr>
        <w:t>Sicurezza</w:t>
      </w:r>
    </w:p>
    <w:p>
      <w:r>
        <w:t>La sicurezza è stata affrontata su più livelli: codice, accesso, dati e infrastruttura.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2551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Intervento</w:t>
            </w:r>
          </w:p>
        </w:tc>
        <w:tc>
          <w:tcPr>
            <w:tcW w:type="dxa" w:w="6803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Cosa garantisce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20"/>
              </w:rPr>
              <w:t>Nessuna credenziale nel codice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Indirizzi e chiavi letti dalla configurazione; verificato che nessun segreto finisca nel pacchetto scaricato dal browser.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/>
            <w:r>
              <w:rPr>
                <w:b/>
                <w:sz w:val="20"/>
              </w:rPr>
              <w:t>Accesso diretto ai dati vietato</w:t>
            </w:r>
          </w:p>
        </w:tc>
        <w:tc>
          <w:tcPr>
            <w:tcW w:type="dxa" w:w="6803"/>
            <w:shd w:val="clear" w:color="auto" w:fill="EEF3F8"/>
          </w:tcPr>
          <w:p>
            <w:r/>
            <w:r>
              <w:rPr>
                <w:sz w:val="20"/>
              </w:rPr>
              <w:t>Una regola automatica blocca qualsiasi componente che provi a interrogare la base dati fuori dai servizi.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20"/>
              </w:rPr>
              <w:t>Accesso aziendale sicuro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Single sign-on con protocollo PKCE, senza segreti nell'applicazione; segnalata la necessità di rigenerare un segreto esposto e di usare un client pubblico.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/>
            <w:r>
              <w:rPr>
                <w:b/>
                <w:sz w:val="20"/>
              </w:rPr>
              <w:t>Ruoli consentiti espliciti</w:t>
            </w:r>
          </w:p>
        </w:tc>
        <w:tc>
          <w:tcPr>
            <w:tcW w:type="dxa" w:w="6803"/>
            <w:shd w:val="clear" w:color="auto" w:fill="EEF3F8"/>
          </w:tcPr>
          <w:p>
            <w:r/>
            <w:r>
              <w:rPr>
                <w:sz w:val="20"/>
              </w:rPr>
              <w:t>Solo i ruoli previsti accedono; gli altri vedono la schermata «Accesso non autorizzato».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20"/>
              </w:rPr>
              <w:t>Perimetro dei dati per ente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Ogni responsabile HR vede solo i dati del proprio ente (codice fiscale dal token); senza ente associato nessun dato aggregato.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/>
            <w:r>
              <w:rPr>
                <w:b/>
                <w:sz w:val="20"/>
              </w:rPr>
              <w:t>Separazione dei privilegi</w:t>
            </w:r>
          </w:p>
        </w:tc>
        <w:tc>
          <w:tcPr>
            <w:tcW w:type="dxa" w:w="6803"/>
            <w:shd w:val="clear" w:color="auto" w:fill="EEF3F8"/>
          </w:tcPr>
          <w:p>
            <w:r/>
            <w:r>
              <w:rPr>
                <w:sz w:val="20"/>
              </w:rPr>
              <w:t>La vista su tutti gli enti (DFP) non comporta l'accesso al pannello di amministrazione.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20"/>
              </w:rPr>
              <w:t>Strato di protezione dei dati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Servizio intermedio che verifica il token e applica le regole di accesso prima di interrogare la base dati; regole di accesso per riga (RLS) predisposte per il sistemista.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/>
            <w:r>
              <w:rPr>
                <w:b/>
                <w:sz w:val="20"/>
              </w:rPr>
              <w:t>Dati personali</w:t>
            </w:r>
          </w:p>
        </w:tc>
        <w:tc>
          <w:tcPr>
            <w:tcW w:type="dxa" w:w="6803"/>
            <w:shd w:val="clear" w:color="auto" w:fill="EEF3F8"/>
          </w:tcPr>
          <w:p>
            <w:r/>
            <w:r>
              <w:rPr>
                <w:sz w:val="20"/>
              </w:rPr>
              <w:t>Segnalato come priorità massima il blocco dell'accesso anonimo alle tabelle con dati di login.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20"/>
              </w:rPr>
              <w:t>Registri sicuri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I registri non contengono dettagli tecnici sensibili; esportazioni protette dall'inserimento di formule malevole nei fogli di calcolo.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/>
            <w:r>
              <w:rPr>
                <w:b/>
                <w:sz w:val="20"/>
              </w:rPr>
              <w:t>Risorse solo interne</w:t>
            </w:r>
          </w:p>
        </w:tc>
        <w:tc>
          <w:tcPr>
            <w:tcW w:type="dxa" w:w="6803"/>
            <w:shd w:val="clear" w:color="auto" w:fill="EEF3F8"/>
          </w:tcPr>
          <w:p>
            <w:r/>
            <w:r>
              <w:rPr>
                <w:sz w:val="20"/>
              </w:rPr>
              <w:t>Font istituzionale incluso nell'applicazione: nessuna richiesta a servizi esterni, compatibile con le politiche di sicurezza dei contenuti.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  <w:color w:val="004080"/>
        </w:rPr>
        <w:t>Attività svolte per area</w:t>
      </w:r>
    </w:p>
    <w:p>
      <w:pPr>
        <w:pStyle w:val="Heading2"/>
      </w:pPr>
      <w:r>
        <w:rPr>
          <w:rFonts w:ascii="Calibri" w:hAnsi="Calibri"/>
          <w:color w:val="004080"/>
        </w:rPr>
        <w:t>1. Acquisizione e ristrutturazione dell'applicazione</w:t>
      </w:r>
    </w:p>
    <w:p>
      <w:r>
        <w:rPr>
          <w:i/>
          <w:color w:val="555F6B"/>
        </w:rPr>
        <w:t>Periodo: 25 – 27 agosto</w:t>
      </w:r>
    </w:p>
    <w:p>
      <w:r>
        <w:t>Il prototipo iniziale è stato acquisito, reso funzionante nell'ambiente di sviluppo e riorganizzato per poter crescere in modo ordinato.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2551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Attività</w:t>
            </w:r>
          </w:p>
        </w:tc>
        <w:tc>
          <w:tcPr>
            <w:tcW w:type="dxa" w:w="6803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Dettaglio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20"/>
              </w:rPr>
              <w:t>Acquisizione del codice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Importazione del progetto, avvio dell'applicazione e analisi iniziale della struttura e delle dipendenze.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/>
            <w:r>
              <w:rPr>
                <w:b/>
                <w:sz w:val="20"/>
              </w:rPr>
              <w:t>Configurazione per ambienti</w:t>
            </w:r>
          </w:p>
        </w:tc>
        <w:tc>
          <w:tcPr>
            <w:tcW w:type="dxa" w:w="6803"/>
            <w:shd w:val="clear" w:color="auto" w:fill="EEF3F8"/>
          </w:tcPr>
          <w:p>
            <w:r/>
            <w:r>
              <w:rPr>
                <w:sz w:val="20"/>
              </w:rPr>
              <w:t>Un unico punto di configurazione per gli indirizzi dei servizi, senza valori scritti nel codice; porte e ricaricamento adattati all'ambiente locale e a quello gestito.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20"/>
              </w:rPr>
              <w:t>Livello di servizio unico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Creati 18 servizi che centralizzano l'accesso ai dati; 12 componenti di caricamento dati semplificati; 46 componenti di sezione e grafico non accedono più direttamente alla base dati.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/>
            <w:r>
              <w:rPr>
                <w:b/>
                <w:sz w:val="20"/>
              </w:rPr>
              <w:t>Componenti riutilizzabili</w:t>
            </w:r>
          </w:p>
        </w:tc>
        <w:tc>
          <w:tcPr>
            <w:tcW w:type="dxa" w:w="6803"/>
            <w:shd w:val="clear" w:color="auto" w:fill="EEF3F8"/>
          </w:tcPr>
          <w:p>
            <w:r/>
            <w:r>
              <w:rPr>
                <w:sz w:val="20"/>
              </w:rPr>
              <w:t>Mattoni comuni per indicatori, griglie, card dei grafici, stati di caricamento/errore/vuoto, tema dei grafici e formattazione dei numeri: interfaccia uniforme in tutte le schede.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20"/>
              </w:rPr>
              <w:t>Tipizzazione dei dati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I servizi principali del Conto Annuale sono stati tipizzati con i tipi generati dalla base dati, eliminando i tipi generici.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/>
            <w:r>
              <w:rPr>
                <w:b/>
                <w:sz w:val="20"/>
              </w:rPr>
              <w:t>Primo collegamento ai dati reali</w:t>
            </w:r>
          </w:p>
        </w:tc>
        <w:tc>
          <w:tcPr>
            <w:tcW w:type="dxa" w:w="6803"/>
            <w:shd w:val="clear" w:color="auto" w:fill="EEF3F8"/>
          </w:tcPr>
          <w:p>
            <w:r/>
            <w:r>
              <w:rPr>
                <w:sz w:val="20"/>
              </w:rPr>
              <w:t>Analisi per età, Benchmark, Cessazioni, Genere, Progressioni, Lavoro agile e flessibile, Tasso di turnover e di sostituzione collegati alle tabelle reali; i dati ancora dimostrativi sono contrassegnati.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20"/>
              </w:rPr>
              <w:t>Pulizia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Rimozione di codice inutilizzato e di file non pertinenti al prodotto; nome del pacchetto e istruzioni di avvio (README) aggiornati.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004080"/>
        </w:rPr>
        <w:t>2. Qualità, robustezza e prestazioni</w:t>
      </w:r>
    </w:p>
    <w:p>
      <w:r>
        <w:rPr>
          <w:i/>
          <w:color w:val="555F6B"/>
        </w:rPr>
        <w:t>Periodo: 26 – 27 agosto</w:t>
      </w:r>
    </w:p>
    <w:p>
      <w:r>
        <w:t>Interventi per rendere l'applicazione più stabile, veloce e controllabile.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2551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Attività</w:t>
            </w:r>
          </w:p>
        </w:tc>
        <w:tc>
          <w:tcPr>
            <w:tcW w:type="dxa" w:w="6803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Dettaglio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20"/>
              </w:rPr>
              <w:t>Protezione dagli errori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Componente che impedisce lo «schermo bianco» quando una parte della pagina va in errore; gestione centralizzata degli errori di caricamento con messaggi all'utente.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/>
            <w:r>
              <w:rPr>
                <w:b/>
                <w:sz w:val="20"/>
              </w:rPr>
              <w:t>Regole di qualità automatiche</w:t>
            </w:r>
          </w:p>
        </w:tc>
        <w:tc>
          <w:tcPr>
            <w:tcW w:type="dxa" w:w="6803"/>
            <w:shd w:val="clear" w:color="auto" w:fill="EEF3F8"/>
          </w:tcPr>
          <w:p>
            <w:r/>
            <w:r>
              <w:rPr>
                <w:sz w:val="20"/>
              </w:rPr>
              <w:t>Controlli automatici che impediscono l'accesso diretto alla base dati fuori dai servizi; errori di analisi statica azzerati.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20"/>
              </w:rPr>
              <w:t>Stile del codice uniforme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Formattazione automatica e regole comuni applicate a 175 file.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/>
            <w:r>
              <w:rPr>
                <w:b/>
                <w:sz w:val="20"/>
              </w:rPr>
              <w:t>Prestazioni</w:t>
            </w:r>
          </w:p>
        </w:tc>
        <w:tc>
          <w:tcPr>
            <w:tcW w:type="dxa" w:w="6803"/>
            <w:shd w:val="clear" w:color="auto" w:fill="EEF3F8"/>
          </w:tcPr>
          <w:p>
            <w:r/>
            <w:r>
              <w:rPr>
                <w:sz w:val="20"/>
              </w:rPr>
              <w:t>Caricamento delle pagine a richiesta (suddivisione del pacchetto) e impostazioni di cache dei dati più efficienti.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20"/>
              </w:rPr>
              <w:t>Test automatici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Primi test unitari sulle trasformazioni dei dati di età, genere e cessazioni.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/>
            <w:r>
              <w:rPr>
                <w:b/>
                <w:sz w:val="20"/>
              </w:rPr>
              <w:t>Correzioni</w:t>
            </w:r>
          </w:p>
        </w:tc>
        <w:tc>
          <w:tcPr>
            <w:tcW w:type="dxa" w:w="6803"/>
            <w:shd w:val="clear" w:color="auto" w:fill="EEF3F8"/>
          </w:tcPr>
          <w:p>
            <w:r/>
            <w:r>
              <w:rPr>
                <w:sz w:val="20"/>
              </w:rPr>
              <w:t>Chiavi duplicate nei KPI, grafici radar senza dati, avvisi di navigazione eliminati.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004080"/>
        </w:rPr>
        <w:t>3. Autenticazione e profilazione degli utenti</w:t>
      </w:r>
    </w:p>
    <w:p>
      <w:r>
        <w:rPr>
          <w:i/>
          <w:color w:val="555F6B"/>
        </w:rPr>
        <w:t>Periodo: 2 – 29 settembre</w:t>
      </w:r>
    </w:p>
    <w:p>
      <w:r>
        <w:t>Introdotto l'accesso con le credenziali aziendali (Keycloak) e definita la regola che stabilisce chi vede quali dati.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2551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Attività</w:t>
            </w:r>
          </w:p>
        </w:tc>
        <w:tc>
          <w:tcPr>
            <w:tcW w:type="dxa" w:w="6803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Dettaglio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20"/>
              </w:rPr>
              <w:t>Accesso single sign-on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Login con redirect e protocollo sicuro (PKCE), senza segreti nell'applicazione; rinnovo automatico della sessione; verificato end-to-end in locale con l'ambiente reale.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/>
            <w:r>
              <w:rPr>
                <w:b/>
                <w:sz w:val="20"/>
              </w:rPr>
              <w:t>Solo accesso aziendale</w:t>
            </w:r>
          </w:p>
        </w:tc>
        <w:tc>
          <w:tcPr>
            <w:tcW w:type="dxa" w:w="6803"/>
            <w:shd w:val="clear" w:color="auto" w:fill="EEF3F8"/>
          </w:tcPr>
          <w:p>
            <w:r/>
            <w:r>
              <w:rPr>
                <w:sz w:val="20"/>
              </w:rPr>
              <w:t>Con Keycloak attivo la pagina di accesso mostra soltanto il pulsante «Accedi con SSO»: ruolo ed ente arrivano dal profilo aziendale.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20"/>
              </w:rPr>
              <w:t>Mappatura dei ruoli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Riconoscimento dei ruoli amministrativi (DFP, Formez, amministratore unico) e del responsabile HR di ente; tabella dei profili allineata alle combinazioni di ruoli reali.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/>
            <w:r>
              <w:rPr>
                <w:b/>
                <w:sz w:val="20"/>
              </w:rPr>
              <w:t>Perimetro per ente</w:t>
            </w:r>
          </w:p>
        </w:tc>
        <w:tc>
          <w:tcPr>
            <w:tcW w:type="dxa" w:w="6803"/>
            <w:shd w:val="clear" w:color="auto" w:fill="EEF3F8"/>
          </w:tcPr>
          <w:p>
            <w:r/>
            <w:r>
              <w:rPr>
                <w:sz w:val="20"/>
              </w:rPr>
              <w:t>Lettura dell'ente dal token: prima tramite codice ISTAT, poi in modo definitivo tramite codice fiscale dell'ente (claim «enti_cf»), con verifica sui dati reali (Comune di Roma, Sapienza).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20"/>
              </w:rPr>
              <w:t>Protezione dalle fughe di dati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Un responsabile HR senza ente associato non vede dati aggregati nazionali; un ruolo non riconosciuto viene bloccato.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/>
            <w:r>
              <w:rPr>
                <w:b/>
                <w:sz w:val="20"/>
              </w:rPr>
              <w:t>Separazione DFP / amministratore</w:t>
            </w:r>
          </w:p>
        </w:tc>
        <w:tc>
          <w:tcPr>
            <w:tcW w:type="dxa" w:w="6803"/>
            <w:shd w:val="clear" w:color="auto" w:fill="EEF3F8"/>
          </w:tcPr>
          <w:p>
            <w:r/>
            <w:r>
              <w:rPr>
                <w:sz w:val="20"/>
              </w:rPr>
              <w:t>La vista su tutti gli enti non dà più accesso al pannello di amministrazione: regola applicata sia nell'applicazione sia nello strato di protezione dei dati.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20"/>
              </w:rPr>
              <w:t>Selettore ente per il DFP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Ricerca e selezione di una singola amministrazione, riservata agli utenti DFP.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/>
            <w:r>
              <w:rPr>
                <w:b/>
                <w:sz w:val="20"/>
              </w:rPr>
              <w:t>Utenti non autorizzati</w:t>
            </w:r>
          </w:p>
        </w:tc>
        <w:tc>
          <w:tcPr>
            <w:tcW w:type="dxa" w:w="6803"/>
            <w:shd w:val="clear" w:color="auto" w:fill="EEF3F8"/>
          </w:tcPr>
          <w:p>
            <w:r/>
            <w:r>
              <w:rPr>
                <w:sz w:val="20"/>
              </w:rPr>
              <w:t>Schermata dedicata «Accesso non autorizzato» con pulsante Esci, invece del pulsante di accesso.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20"/>
              </w:rPr>
              <w:t>Contratto dei claim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Documento operativo per chi gestisce Keycloak con i dati da inserire nel token (ruoli, codice fiscale ente).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004080"/>
        </w:rPr>
        <w:t>4. Allineamento alla base dati reale</w:t>
      </w:r>
    </w:p>
    <w:p>
      <w:r>
        <w:rPr>
          <w:i/>
          <w:color w:val="555F6B"/>
        </w:rPr>
        <w:t>Periodo: 3 – 8 settembre</w:t>
      </w:r>
    </w:p>
    <w:p>
      <w:r>
        <w:t>Studio della base dati reale e costruzione di viste che la rendono compatibile con l'applicazione, senza modificare l'interfaccia.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2551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Attività</w:t>
            </w:r>
          </w:p>
        </w:tc>
        <w:tc>
          <w:tcPr>
            <w:tcW w:type="dxa" w:w="6803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Dettaglio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20"/>
              </w:rPr>
              <w:t>Mappatura grafici ↔ tabelle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Per ogni grafico e sezione: tabelle utilizzate, chiave ente e colonne lette (54 tabelle), con scheletro SQL delle viste da ricreare.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/>
            <w:r>
              <w:rPr>
                <w:b/>
                <w:sz w:val="20"/>
              </w:rPr>
              <w:t>Studio della base dati reale</w:t>
            </w:r>
          </w:p>
        </w:tc>
        <w:tc>
          <w:tcPr>
            <w:tcW w:type="dxa" w:w="6803"/>
            <w:shd w:val="clear" w:color="auto" w:fill="EEF3F8"/>
          </w:tcPr>
          <w:p>
            <w:r/>
            <w:r>
              <w:rPr>
                <w:sz w:val="20"/>
              </w:rPr>
              <w:t>Analisi della struttura a dizionario (64 elementi e 27 indicatori), individuazione del codice fiscale come chiave ente e piano di allineamento.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20"/>
              </w:rPr>
              <w:t>Anagrafica enti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Vista degli enti costruita e verificata: 23.594 enti.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/>
            <w:r>
              <w:rPr>
                <w:b/>
                <w:sz w:val="20"/>
              </w:rPr>
              <w:t>Indicatori KPI</w:t>
            </w:r>
          </w:p>
        </w:tc>
        <w:tc>
          <w:tcPr>
            <w:tcW w:type="dxa" w:w="6803"/>
            <w:shd w:val="clear" w:color="auto" w:fill="EEF3F8"/>
          </w:tcPr>
          <w:p>
            <w:r/>
            <w:r>
              <w:rPr>
                <w:sz w:val="20"/>
              </w:rPr>
              <w:t>Trasformazione dei dati a dizionario in tabella per ente (264 enti monitorati, 78 metriche) e viste di rilevazione KPI.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20"/>
              </w:rPr>
              <w:t>Viste del Conto Annuale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Sei viste occupazionali dai Conti Annuali reali: occupazione (1,2 milioni di righe), assunzioni, cessazioni, età (2,8 milioni), formazione, lavoro flessibile; collegamento agli enti tramite codice fiscale (12.274 corrispondenze verificate).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/>
            <w:r>
              <w:rPr>
                <w:b/>
                <w:sz w:val="20"/>
              </w:rPr>
              <w:t>Tabelle di decodifica</w:t>
            </w:r>
          </w:p>
        </w:tc>
        <w:tc>
          <w:tcPr>
            <w:tcW w:type="dxa" w:w="6803"/>
            <w:shd w:val="clear" w:color="auto" w:fill="EEF3F8"/>
          </w:tcPr>
          <w:p>
            <w:r/>
            <w:r>
              <w:rPr>
                <w:sz w:val="20"/>
              </w:rPr>
              <w:t>Causali di assunzione/cessazione, comparti e contratti, fasce d'età e qualifiche per esteso (corrispondenza verificata al 100%), passaggi di qualifica.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20"/>
              </w:rPr>
              <w:t>Viste predisposte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13 viste conformi ma ancora vuote per le fonti non disponibili (InPA, Syllabus, competenze, PTFP), verificate su una base dati pulita.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/>
            <w:r>
              <w:rPr>
                <w:b/>
                <w:sz w:val="20"/>
              </w:rPr>
              <w:t>Strumenti per i colleghi</w:t>
            </w:r>
          </w:p>
        </w:tc>
        <w:tc>
          <w:tcPr>
            <w:tcW w:type="dxa" w:w="6803"/>
            <w:shd w:val="clear" w:color="auto" w:fill="EEF3F8"/>
          </w:tcPr>
          <w:p>
            <w:r/>
            <w:r>
              <w:rPr>
                <w:sz w:val="20"/>
              </w:rPr>
              <w:t>Script per l'esportazione della base dati e documento «vista → tabelle sorgenti → query» con tutte le interrogazioni.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004080"/>
        </w:rPr>
        <w:t>5. Conto Annuale su dati reali</w:t>
      </w:r>
    </w:p>
    <w:p>
      <w:r>
        <w:rPr>
          <w:i/>
          <w:color w:val="555F6B"/>
        </w:rPr>
        <w:t>Periodo: 10 – 29 settembre</w:t>
      </w:r>
    </w:p>
    <w:p>
      <w:r>
        <w:t>Tutte le 12 schede del Conto Annuale sono state collegate alle funzioni di calcolo della base dati, secondo le mappature condivise.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2551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Attività</w:t>
            </w:r>
          </w:p>
        </w:tc>
        <w:tc>
          <w:tcPr>
            <w:tcW w:type="dxa" w:w="6803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Dettaglio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20"/>
              </w:rPr>
              <w:t>Analisi per età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Prima scheda collegata e verificata a schermo; definito lo schema replicato poi su tutte le altre.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/>
            <w:r>
              <w:rPr>
                <w:b/>
                <w:sz w:val="20"/>
              </w:rPr>
              <w:t>Anzianità di servizio</w:t>
            </w:r>
          </w:p>
        </w:tc>
        <w:tc>
          <w:tcPr>
            <w:tcW w:type="dxa" w:w="6803"/>
            <w:shd w:val="clear" w:color="auto" w:fill="EEF3F8"/>
          </w:tcPr>
          <w:p>
            <w:r/>
            <w:r>
              <w:rPr>
                <w:sz w:val="20"/>
              </w:rPr>
              <w:t>Quattro indicatori, distribuzione ed evoluzione per genere.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20"/>
              </w:rPr>
              <w:t>Assunti per causale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Indicatori e grafici su dati reali; rimossa una voce di menu non più prevista.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/>
            <w:r>
              <w:rPr>
                <w:b/>
                <w:sz w:val="20"/>
              </w:rPr>
              <w:t>Cessazioni dal servizio</w:t>
            </w:r>
          </w:p>
        </w:tc>
        <w:tc>
          <w:tcPr>
            <w:tcW w:type="dxa" w:w="6803"/>
            <w:shd w:val="clear" w:color="auto" w:fill="EEF3F8"/>
          </w:tcPr>
          <w:p>
            <w:r/>
            <w:r>
              <w:rPr>
                <w:sz w:val="20"/>
              </w:rPr>
              <w:t>Indicatori e grafici su dati reali.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20"/>
              </w:rPr>
              <w:t>Tasso di turnover e di sostituzione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Ultime due schede del primo blocco.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/>
            <w:r>
              <w:rPr>
                <w:b/>
                <w:sz w:val="20"/>
              </w:rPr>
              <w:t>Sei schede del secondo blocco</w:t>
            </w:r>
          </w:p>
        </w:tc>
        <w:tc>
          <w:tcPr>
            <w:tcW w:type="dxa" w:w="6803"/>
            <w:shd w:val="clear" w:color="auto" w:fill="EEF3F8"/>
          </w:tcPr>
          <w:p>
            <w:r/>
            <w:r>
              <w:rPr>
                <w:sz w:val="20"/>
              </w:rPr>
              <w:t>Progressioni, Analisi del personale, Lavoro flessibile, Formazione, Analisi per genere e Lavoro agile, verificate una per una rispetto alle mappature.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20"/>
              </w:rPr>
              <w:t>Rifiniture richieste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Filtro Genere bloccato dove non applicabile, titoli senza anno fisso, note e etichette chiarite, grafico non previsto rimosso.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/>
            <w:r>
              <w:rPr>
                <w:b/>
                <w:sz w:val="20"/>
              </w:rPr>
              <w:t>Filtri dinamici a cascata</w:t>
            </w:r>
          </w:p>
        </w:tc>
        <w:tc>
          <w:tcPr>
            <w:tcW w:type="dxa" w:w="6803"/>
            <w:shd w:val="clear" w:color="auto" w:fill="EEF3F8"/>
          </w:tcPr>
          <w:p>
            <w:r/>
            <w:r>
              <w:rPr>
                <w:sz w:val="20"/>
              </w:rPr>
              <w:t>Opzioni dei filtri lette dai dati, con azzeramento a catena; nuovo ordine Comparto → Macrocategoria → Categoria.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20"/>
              </w:rPr>
              <w:t>Documentazione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Riepilogo tecnico della scheda Età, documentazione tecnica delle schede e nota di metodo; sei file di mappatura.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004080"/>
        </w:rPr>
        <w:t>6. Navigazione e dati dimostrativi</w:t>
      </w:r>
    </w:p>
    <w:p>
      <w:r>
        <w:rPr>
          <w:i/>
          <w:color w:val="555F6B"/>
        </w:rPr>
        <w:t>Periodo: 14 – 22 settembre</w:t>
      </w:r>
    </w:p>
    <w:p>
      <w:r>
        <w:t>Interventi sull'esperienza di navigazione e sulla chiarezza dei dati non ancora reali.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2551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Attività</w:t>
            </w:r>
          </w:p>
        </w:tc>
        <w:tc>
          <w:tcPr>
            <w:tcW w:type="dxa" w:w="6803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Dettaglio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20"/>
              </w:rPr>
              <w:t>Tasto «Indietro» del browser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La navigazione tra le sezioni è registrata nella cronologia: il tasto Indietro riporta alla vista precedente.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/>
            <w:r>
              <w:rPr>
                <w:b/>
                <w:sz w:val="20"/>
              </w:rPr>
              <w:t>Correzione di una pagina non trovata</w:t>
            </w:r>
          </w:p>
        </w:tc>
        <w:tc>
          <w:tcPr>
            <w:tcW w:type="dxa" w:w="6803"/>
            <w:shd w:val="clear" w:color="auto" w:fill="EEF3F8"/>
          </w:tcPr>
          <w:p>
            <w:r/>
            <w:r>
              <w:rPr>
                <w:sz w:val="20"/>
              </w:rPr>
              <w:t>Risolto l'errore sulla scheda «Assunti per causale».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20"/>
              </w:rPr>
              <w:t>Modalità «N/D»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Interruttore centrale che mostra «non disponibile» al posto dei valori dimostrativi; rettifiche ai menu.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/>
            <w:r>
              <w:rPr>
                <w:b/>
                <w:sz w:val="20"/>
              </w:rPr>
              <w:t>Avviso dati dimostrativi</w:t>
            </w:r>
          </w:p>
        </w:tc>
        <w:tc>
          <w:tcPr>
            <w:tcW w:type="dxa" w:w="6803"/>
            <w:shd w:val="clear" w:color="auto" w:fill="EEF3F8"/>
          </w:tcPr>
          <w:p>
            <w:r/>
            <w:r>
              <w:rPr>
                <w:sz w:val="20"/>
              </w:rPr>
              <w:t>Banner «Dati a scopo dimostrativo» su tutte le sezioni ancora non collegate (InPA, Minerva, Syllabus, Lavoro Pubblico, D1 e D3); nessun avviso sul Conto Annuale, interamente reale.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004080"/>
        </w:rPr>
        <w:t>7. Pannello di amministrazione</w:t>
      </w:r>
    </w:p>
    <w:p>
      <w:r>
        <w:rPr>
          <w:i/>
          <w:color w:val="555F6B"/>
        </w:rPr>
        <w:t>Periodo: 17 – 24 settembre</w:t>
      </w:r>
    </w:p>
    <w:p>
      <w:r>
        <w:t>Area riservata agli amministratori per governare le funzionalità e monitorare l'uso.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2551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Attività</w:t>
            </w:r>
          </w:p>
        </w:tc>
        <w:tc>
          <w:tcPr>
            <w:tcW w:type="dxa" w:w="6803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Dettaglio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20"/>
              </w:rPr>
              <w:t>Gestione delle schede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Attivazione e disattivazione delle schede con effetto immediato per tutti gli utenti, salvata nella base dati.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/>
            <w:r>
              <w:rPr>
                <w:b/>
                <w:sz w:val="20"/>
              </w:rPr>
              <w:t>Statistiche d'uso</w:t>
            </w:r>
          </w:p>
        </w:tc>
        <w:tc>
          <w:tcPr>
            <w:tcW w:type="dxa" w:w="6803"/>
            <w:shd w:val="clear" w:color="auto" w:fill="EEF3F8"/>
          </w:tcPr>
          <w:p>
            <w:r/>
            <w:r>
              <w:rPr>
                <w:sz w:val="20"/>
              </w:rPr>
              <w:t>Grafico delle schede attive/disattive e delle schede più consultate.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20"/>
              </w:rPr>
              <w:t>Registri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Registrazione reale di accessi, eventi ed errori (senza dati tecnici sensibili), consultazione e svuotamento.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/>
            <w:r>
              <w:rPr>
                <w:b/>
                <w:sz w:val="20"/>
              </w:rPr>
              <w:t>Schema dati</w:t>
            </w:r>
          </w:p>
        </w:tc>
        <w:tc>
          <w:tcPr>
            <w:tcW w:type="dxa" w:w="6803"/>
            <w:shd w:val="clear" w:color="auto" w:fill="EEF3F8"/>
          </w:tcPr>
          <w:p>
            <w:r/>
            <w:r>
              <w:rPr>
                <w:sz w:val="20"/>
              </w:rPr>
              <w:t>Script SQL delle tabelle di amministrazione aggiornato.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20"/>
              </w:rPr>
              <w:t>Guida tecnica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Documento per replicare l'area di amministrazione su altri progetti (schema, raccolta dati, sicurezza, checklist).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004080"/>
        </w:rPr>
        <w:t>8. Sicurezza: strato di protezione dei dati</w:t>
      </w:r>
    </w:p>
    <w:p>
      <w:r>
        <w:rPr>
          <w:i/>
          <w:color w:val="555F6B"/>
        </w:rPr>
        <w:t>Periodo: 23 – 25 settembre</w:t>
      </w:r>
    </w:p>
    <w:p>
      <w:r>
        <w:t>Servizio intermedio tra applicazione e base dati che verifica l'identità dell'utente e applica il perimetro dei dati.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2551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Attività</w:t>
            </w:r>
          </w:p>
        </w:tc>
        <w:tc>
          <w:tcPr>
            <w:tcW w:type="dxa" w:w="6803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Dettaglio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20"/>
              </w:rPr>
              <w:t>Pacchetto pronto al rilascio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Servizio di protezione con configurazione, verifiche di sicurezza e istruzioni per il sistemista.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/>
            <w:r>
              <w:rPr>
                <w:b/>
                <w:sz w:val="20"/>
              </w:rPr>
              <w:t>Regole sui dati (RLS)</w:t>
            </w:r>
          </w:p>
        </w:tc>
        <w:tc>
          <w:tcPr>
            <w:tcW w:type="dxa" w:w="6803"/>
            <w:shd w:val="clear" w:color="auto" w:fill="EEF3F8"/>
          </w:tcPr>
          <w:p>
            <w:r/>
            <w:r>
              <w:rPr>
                <w:sz w:val="20"/>
              </w:rPr>
              <w:t>Bozza delle regole di accesso per ente e adeguamento delle funzioni di calcolo, con sequenza consigliata di attivazione.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20"/>
              </w:rPr>
              <w:t>Aggancio «a interruttore»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L'applicazione usa il servizio di protezione solo quando è configurato, senza impatti sugli altri ambienti.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/>
            <w:r>
              <w:rPr>
                <w:b/>
                <w:sz w:val="20"/>
              </w:rPr>
              <w:t>Messa in esercizio in staging</w:t>
            </w:r>
          </w:p>
        </w:tc>
        <w:tc>
          <w:tcPr>
            <w:tcW w:type="dxa" w:w="6803"/>
            <w:shd w:val="clear" w:color="auto" w:fill="EEF3F8"/>
          </w:tcPr>
          <w:p>
            <w:r/>
            <w:r>
              <w:rPr>
                <w:sz w:val="20"/>
              </w:rPr>
              <w:t>Diagnosi e soluzione dei problemi di avvio: tolleranza per piccoli sfasamenti dell'orologio dei server, correzione SQL suggerita al sistemista, chiamate amministrative eseguite solo dopo l'accesso.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004080"/>
        </w:rPr>
        <w:t>9. Rilascio, versioni e identità grafica</w:t>
      </w:r>
    </w:p>
    <w:p>
      <w:r>
        <w:rPr>
          <w:i/>
          <w:color w:val="555F6B"/>
        </w:rPr>
        <w:t>Periodo: 21 – 25 settembre</w:t>
      </w:r>
    </w:p>
    <w:p>
      <w:r>
        <w:t>Accorgimenti perché gli utenti vedano sempre la versione più recente.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2551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Attività</w:t>
            </w:r>
          </w:p>
        </w:tc>
        <w:tc>
          <w:tcPr>
            <w:tcW w:type="dxa" w:w="6803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Dettaglio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20"/>
              </w:rPr>
              <w:t>Aggiornamento sicuro delle versioni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Identificativo univoco a ogni rilascio, regole di cache per il server web e banner «Nuova versione disponibile — Ricarica».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/>
            <w:r>
              <w:rPr>
                <w:b/>
                <w:sz w:val="20"/>
              </w:rPr>
              <w:t>Icona dell'applicazione</w:t>
            </w:r>
          </w:p>
        </w:tc>
        <w:tc>
          <w:tcPr>
            <w:tcW w:type="dxa" w:w="6803"/>
            <w:shd w:val="clear" w:color="auto" w:fill="EEF3F8"/>
          </w:tcPr>
          <w:p>
            <w:r/>
            <w:r>
              <w:rPr>
                <w:sz w:val="20"/>
              </w:rPr>
              <w:t>Stemma come favicon, con aggiornamento forzato nei browser.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20"/>
              </w:rPr>
              <w:t>Font Titillium Web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Font istituzionale incluso nell'applicazione, senza richieste a servizi esterni (compatibile con le politiche di sicurezza).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004080"/>
        </w:rPr>
        <w:t>10. Documentazione e wiki di progetto</w:t>
      </w:r>
    </w:p>
    <w:p>
      <w:r>
        <w:rPr>
          <w:i/>
          <w:color w:val="555F6B"/>
        </w:rPr>
        <w:t>Periodo: 26 agosto – 25 settembre</w:t>
      </w:r>
    </w:p>
    <w:p>
      <w:r>
        <w:t>Documenti per committente, esperti e sistemisti, e wiki pubblicabile.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2551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Attività</w:t>
            </w:r>
          </w:p>
        </w:tc>
        <w:tc>
          <w:tcPr>
            <w:tcW w:type="dxa" w:w="6803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Dettaglio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20"/>
              </w:rPr>
              <w:t>Report di ristrutturazione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Report delle attività con esempi «prima/dopo», schermate e mappa dei dati dimostrativi, in versione definitiva e «attività in corso», senza riferimenti a strumenti esterni.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/>
            <w:r>
              <w:rPr>
                <w:b/>
                <w:sz w:val="20"/>
              </w:rPr>
              <w:t>Domande tecniche al committente</w:t>
            </w:r>
          </w:p>
        </w:tc>
        <w:tc>
          <w:tcPr>
            <w:tcW w:type="dxa" w:w="6803"/>
            <w:shd w:val="clear" w:color="auto" w:fill="EEF3F8"/>
          </w:tcPr>
          <w:p>
            <w:r/>
            <w:r>
              <w:rPr>
                <w:sz w:val="20"/>
              </w:rPr>
              <w:t>Sette aree di domande (enti/comuni, protezione dei dati, Keycloak, amministrazione, percorsi guidati, dati, rilascio) con i punti bloccanti evidenziati.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20"/>
              </w:rPr>
              <w:t>Documenti per i sistemisti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Mappature dati, viste SQL e loro sorgenti, contratto dei claim, regole di accesso, istruzioni per lo strato di protezione.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/>
            <w:r>
              <w:rPr>
                <w:b/>
                <w:sz w:val="20"/>
              </w:rPr>
              <w:t>Wiki di progetto</w:t>
            </w:r>
          </w:p>
        </w:tc>
        <w:tc>
          <w:tcPr>
            <w:tcW w:type="dxa" w:w="6803"/>
            <w:shd w:val="clear" w:color="auto" w:fill="EEF3F8"/>
          </w:tcPr>
          <w:p>
            <w:r/>
            <w:r>
              <w:rPr>
                <w:sz w:val="20"/>
              </w:rPr>
              <w:t>Manuale utente, ruoli e accessi, pannello di gestione, funzionalità, architettura tecnica e pagina «Stato e attività» con le note di rilascio; registro formale, menu laterale e collegamenti nel formato della wiki.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/>
          <w:color w:val="004080"/>
        </w:rPr>
        <w:t>Cronologia</w:t>
      </w:r>
    </w:p>
    <w:p>
      <w:r>
        <w:t>Principali attività per giornata di lavoro.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1417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Data</w:t>
            </w:r>
          </w:p>
        </w:tc>
        <w:tc>
          <w:tcPr>
            <w:tcW w:type="dxa" w:w="7937"/>
            <w:shd w:val="clear" w:color="auto" w:fill="004080"/>
          </w:tcPr>
          <w:p>
            <w:r/>
            <w:r>
              <w:rPr>
                <w:b/>
                <w:color w:val="FFFFFF"/>
                <w:sz w:val="20"/>
              </w:rPr>
              <w:t>Attività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/>
                <w:sz w:val="20"/>
              </w:rPr>
              <w:t>25/08</w:t>
            </w:r>
          </w:p>
        </w:tc>
        <w:tc>
          <w:tcPr>
            <w:tcW w:type="dxa" w:w="7937"/>
          </w:tcPr>
          <w:p>
            <w:r/>
            <w:r>
              <w:rPr>
                <w:sz w:val="20"/>
              </w:rPr>
              <w:t>Acquisizione del prototipo, configurazione per ambienti, livello di servizio unico.</w:t>
            </w:r>
          </w:p>
        </w:tc>
      </w:tr>
      <w:tr>
        <w:tc>
          <w:tcPr>
            <w:tcW w:type="dxa" w:w="1417"/>
            <w:shd w:val="clear" w:color="auto" w:fill="EEF3F8"/>
          </w:tcPr>
          <w:p>
            <w:r/>
            <w:r>
              <w:rPr>
                <w:b/>
                <w:sz w:val="20"/>
              </w:rPr>
              <w:t>26/08</w:t>
            </w:r>
          </w:p>
        </w:tc>
        <w:tc>
          <w:tcPr>
            <w:tcW w:type="dxa" w:w="7937"/>
            <w:shd w:val="clear" w:color="auto" w:fill="EEF3F8"/>
          </w:tcPr>
          <w:p>
            <w:r/>
            <w:r>
              <w:rPr>
                <w:sz w:val="20"/>
              </w:rPr>
              <w:t>Primo collegamento ai dati reali, componenti riutilizzabili, regole di qualità, prestazioni, test, report di ristrutturazione.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/>
                <w:sz w:val="20"/>
              </w:rPr>
              <w:t>27/08</w:t>
            </w:r>
          </w:p>
        </w:tc>
        <w:tc>
          <w:tcPr>
            <w:tcW w:type="dxa" w:w="7937"/>
          </w:tcPr>
          <w:p>
            <w:r/>
            <w:r>
              <w:rPr>
                <w:sz w:val="20"/>
              </w:rPr>
              <w:t>Protezione dagli errori, stile del codice uniforme, documento di domande tecniche.</w:t>
            </w:r>
          </w:p>
        </w:tc>
      </w:tr>
      <w:tr>
        <w:tc>
          <w:tcPr>
            <w:tcW w:type="dxa" w:w="1417"/>
            <w:shd w:val="clear" w:color="auto" w:fill="EEF3F8"/>
          </w:tcPr>
          <w:p>
            <w:r/>
            <w:r>
              <w:rPr>
                <w:b/>
                <w:sz w:val="20"/>
              </w:rPr>
              <w:t>31/08</w:t>
            </w:r>
          </w:p>
        </w:tc>
        <w:tc>
          <w:tcPr>
            <w:tcW w:type="dxa" w:w="7937"/>
            <w:shd w:val="clear" w:color="auto" w:fill="EEF3F8"/>
          </w:tcPr>
          <w:p>
            <w:r/>
            <w:r>
              <w:rPr>
                <w:sz w:val="20"/>
              </w:rPr>
              <w:t>Revisione dei report per il committente (versione «attività in corso»).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/>
                <w:sz w:val="20"/>
              </w:rPr>
              <w:t>02/09</w:t>
            </w:r>
          </w:p>
        </w:tc>
        <w:tc>
          <w:tcPr>
            <w:tcW w:type="dxa" w:w="7937"/>
          </w:tcPr>
          <w:p>
            <w:r/>
            <w:r>
              <w:rPr>
                <w:sz w:val="20"/>
              </w:rPr>
              <w:t>Accesso con credenziali aziendali (Keycloak) e mappatura dei ruoli.</w:t>
            </w:r>
          </w:p>
        </w:tc>
      </w:tr>
      <w:tr>
        <w:tc>
          <w:tcPr>
            <w:tcW w:type="dxa" w:w="1417"/>
            <w:shd w:val="clear" w:color="auto" w:fill="EEF3F8"/>
          </w:tcPr>
          <w:p>
            <w:r/>
            <w:r>
              <w:rPr>
                <w:b/>
                <w:sz w:val="20"/>
              </w:rPr>
              <w:t>03/09</w:t>
            </w:r>
          </w:p>
        </w:tc>
        <w:tc>
          <w:tcPr>
            <w:tcW w:type="dxa" w:w="7937"/>
            <w:shd w:val="clear" w:color="auto" w:fill="EEF3F8"/>
          </w:tcPr>
          <w:p>
            <w:r/>
            <w:r>
              <w:rPr>
                <w:sz w:val="20"/>
              </w:rPr>
              <w:t>Lettura dell'ente dal token; mappatura grafici ↔ tabelle e scheletro delle viste.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/>
                <w:sz w:val="20"/>
              </w:rPr>
              <w:t>07/09</w:t>
            </w:r>
          </w:p>
        </w:tc>
        <w:tc>
          <w:tcPr>
            <w:tcW w:type="dxa" w:w="7937"/>
          </w:tcPr>
          <w:p>
            <w:r/>
            <w:r>
              <w:rPr>
                <w:sz w:val="20"/>
              </w:rPr>
              <w:t>Studio della base dati reale; viste enti, KPI, Conto Annuale e decodifiche.</w:t>
            </w:r>
          </w:p>
        </w:tc>
      </w:tr>
      <w:tr>
        <w:tc>
          <w:tcPr>
            <w:tcW w:type="dxa" w:w="1417"/>
            <w:shd w:val="clear" w:color="auto" w:fill="EEF3F8"/>
          </w:tcPr>
          <w:p>
            <w:r/>
            <w:r>
              <w:rPr>
                <w:b/>
                <w:sz w:val="20"/>
              </w:rPr>
              <w:t>08/09</w:t>
            </w:r>
          </w:p>
        </w:tc>
        <w:tc>
          <w:tcPr>
            <w:tcW w:type="dxa" w:w="7937"/>
            <w:shd w:val="clear" w:color="auto" w:fill="EEF3F8"/>
          </w:tcPr>
          <w:p>
            <w:r/>
            <w:r>
              <w:rPr>
                <w:sz w:val="20"/>
              </w:rPr>
              <w:t>Viste predisposte, documento viste/sorgenti/query, verifica dei contenuti.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/>
                <w:sz w:val="20"/>
              </w:rPr>
              <w:t>10/09</w:t>
            </w:r>
          </w:p>
        </w:tc>
        <w:tc>
          <w:tcPr>
            <w:tcW w:type="dxa" w:w="7937"/>
          </w:tcPr>
          <w:p>
            <w:r/>
            <w:r>
              <w:rPr>
                <w:sz w:val="20"/>
              </w:rPr>
              <w:t>Contratto dei claim; scheda Analisi per età su dati reali; selettore ente DFP.</w:t>
            </w:r>
          </w:p>
        </w:tc>
      </w:tr>
      <w:tr>
        <w:tc>
          <w:tcPr>
            <w:tcW w:type="dxa" w:w="1417"/>
            <w:shd w:val="clear" w:color="auto" w:fill="EEF3F8"/>
          </w:tcPr>
          <w:p>
            <w:r/>
            <w:r>
              <w:rPr>
                <w:b/>
                <w:sz w:val="20"/>
              </w:rPr>
              <w:t>12/09</w:t>
            </w:r>
          </w:p>
        </w:tc>
        <w:tc>
          <w:tcPr>
            <w:tcW w:type="dxa" w:w="7937"/>
            <w:shd w:val="clear" w:color="auto" w:fill="EEF3F8"/>
          </w:tcPr>
          <w:p>
            <w:r/>
            <w:r>
              <w:rPr>
                <w:sz w:val="20"/>
              </w:rPr>
              <w:t>Schede Anzianità, Assunti, Cessazioni, Turnover e Sostituzione su dati reali.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/>
                <w:sz w:val="20"/>
              </w:rPr>
              <w:t>14/09</w:t>
            </w:r>
          </w:p>
        </w:tc>
        <w:tc>
          <w:tcPr>
            <w:tcW w:type="dxa" w:w="7937"/>
          </w:tcPr>
          <w:p>
            <w:r/>
            <w:r>
              <w:rPr>
                <w:sz w:val="20"/>
              </w:rPr>
              <w:t>Tasto Indietro, modalità N/D, correzioni ai menu, nota di metodo, mappature.</w:t>
            </w:r>
          </w:p>
        </w:tc>
      </w:tr>
      <w:tr>
        <w:tc>
          <w:tcPr>
            <w:tcW w:type="dxa" w:w="1417"/>
            <w:shd w:val="clear" w:color="auto" w:fill="EEF3F8"/>
          </w:tcPr>
          <w:p>
            <w:r/>
            <w:r>
              <w:rPr>
                <w:b/>
                <w:sz w:val="20"/>
              </w:rPr>
              <w:t>16/09</w:t>
            </w:r>
          </w:p>
        </w:tc>
        <w:tc>
          <w:tcPr>
            <w:tcW w:type="dxa" w:w="7937"/>
            <w:shd w:val="clear" w:color="auto" w:fill="EEF3F8"/>
          </w:tcPr>
          <w:p>
            <w:r/>
            <w:r>
              <w:rPr>
                <w:sz w:val="20"/>
              </w:rPr>
              <w:t>Sei schede del secondo blocco del Conto Annuale su dati reali.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/>
                <w:sz w:val="20"/>
              </w:rPr>
              <w:t>17/09</w:t>
            </w:r>
          </w:p>
        </w:tc>
        <w:tc>
          <w:tcPr>
            <w:tcW w:type="dxa" w:w="7937"/>
          </w:tcPr>
          <w:p>
            <w:r/>
            <w:r>
              <w:rPr>
                <w:sz w:val="20"/>
              </w:rPr>
              <w:t>Rifiniture schede; sezione «Schede» del pannello di amministrazione; perimetro per codice fiscale.</w:t>
            </w:r>
          </w:p>
        </w:tc>
      </w:tr>
      <w:tr>
        <w:tc>
          <w:tcPr>
            <w:tcW w:type="dxa" w:w="1417"/>
            <w:shd w:val="clear" w:color="auto" w:fill="EEF3F8"/>
          </w:tcPr>
          <w:p>
            <w:r/>
            <w:r>
              <w:rPr>
                <w:b/>
                <w:sz w:val="20"/>
              </w:rPr>
              <w:t>18/09</w:t>
            </w:r>
          </w:p>
        </w:tc>
        <w:tc>
          <w:tcPr>
            <w:tcW w:type="dxa" w:w="7937"/>
            <w:shd w:val="clear" w:color="auto" w:fill="EEF3F8"/>
          </w:tcPr>
          <w:p>
            <w:r/>
            <w:r>
              <w:rPr>
                <w:sz w:val="20"/>
              </w:rPr>
              <w:t>Pannello di amministrazione collegato alla base dati (schede e registri).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/>
                <w:sz w:val="20"/>
              </w:rPr>
              <w:t>21–22/09</w:t>
            </w:r>
          </w:p>
        </w:tc>
        <w:tc>
          <w:tcPr>
            <w:tcW w:type="dxa" w:w="7937"/>
          </w:tcPr>
          <w:p>
            <w:r/>
            <w:r>
              <w:rPr>
                <w:sz w:val="20"/>
              </w:rPr>
              <w:t>Favicon, aggiornamento sicuro delle versioni, ruoli consentiti, avvisi dati dimostrativi.</w:t>
            </w:r>
          </w:p>
        </w:tc>
      </w:tr>
      <w:tr>
        <w:tc>
          <w:tcPr>
            <w:tcW w:type="dxa" w:w="1417"/>
            <w:shd w:val="clear" w:color="auto" w:fill="EEF3F8"/>
          </w:tcPr>
          <w:p>
            <w:r/>
            <w:r>
              <w:rPr>
                <w:b/>
                <w:sz w:val="20"/>
              </w:rPr>
              <w:t>23/09</w:t>
            </w:r>
          </w:p>
        </w:tc>
        <w:tc>
          <w:tcPr>
            <w:tcW w:type="dxa" w:w="7937"/>
            <w:shd w:val="clear" w:color="auto" w:fill="EEF3F8"/>
          </w:tcPr>
          <w:p>
            <w:r/>
            <w:r>
              <w:rPr>
                <w:sz w:val="20"/>
              </w:rPr>
              <w:t>Strato di protezione dei dati, regole di accesso, aggancio a interruttore, wiki.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/>
                <w:sz w:val="20"/>
              </w:rPr>
              <w:t>24/09</w:t>
            </w:r>
          </w:p>
        </w:tc>
        <w:tc>
          <w:tcPr>
            <w:tcW w:type="dxa" w:w="7937"/>
          </w:tcPr>
          <w:p>
            <w:r/>
            <w:r>
              <w:rPr>
                <w:sz w:val="20"/>
              </w:rPr>
              <w:t>Wiki riscritta (manuale e architettura), profili, separazione DFP/amministratore, guida tecnica dell'area amministrazione.</w:t>
            </w:r>
          </w:p>
        </w:tc>
      </w:tr>
      <w:tr>
        <w:tc>
          <w:tcPr>
            <w:tcW w:type="dxa" w:w="1417"/>
            <w:shd w:val="clear" w:color="auto" w:fill="EEF3F8"/>
          </w:tcPr>
          <w:p>
            <w:r/>
            <w:r>
              <w:rPr>
                <w:b/>
                <w:sz w:val="20"/>
              </w:rPr>
              <w:t>25/09</w:t>
            </w:r>
          </w:p>
        </w:tc>
        <w:tc>
          <w:tcPr>
            <w:tcW w:type="dxa" w:w="7937"/>
            <w:shd w:val="clear" w:color="auto" w:fill="EEF3F8"/>
          </w:tcPr>
          <w:p>
            <w:r/>
            <w:r>
              <w:rPr>
                <w:sz w:val="20"/>
              </w:rPr>
              <w:t>Messa in esercizio in staging, font istituzionale, favicon, note di rilascio.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/>
                <w:sz w:val="20"/>
              </w:rPr>
              <w:t>29/09</w:t>
            </w:r>
          </w:p>
        </w:tc>
        <w:tc>
          <w:tcPr>
            <w:tcW w:type="dxa" w:w="7937"/>
          </w:tcPr>
          <w:p>
            <w:r/>
            <w:r>
              <w:rPr>
                <w:sz w:val="20"/>
              </w:rPr>
              <w:t>Schermata per utenti non autorizzati; nuovo ordine dei filtri del Conto Annuale.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F6B"/>
        <w:sz w:val="16"/>
      </w:rPr>
      <w:t>Cruscotto HR · Resoconto attività agosto – settembre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