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6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log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54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04080"/>
          <w:sz w:val="56"/>
        </w:rPr>
        <w:t>Cruscotto HR</w:t>
      </w:r>
    </w:p>
    <w:p>
      <w:pPr>
        <w:jc w:val="center"/>
      </w:pPr>
      <w:r>
        <w:rPr>
          <w:b w:val="0"/>
          <w:sz w:val="36"/>
        </w:rPr>
        <w:t>Stato Avanzamento Lavori (SAL)</w:t>
      </w:r>
    </w:p>
    <w:p>
      <w:pPr>
        <w:jc w:val="center"/>
      </w:pPr>
      <w:r>
        <w:rPr>
          <w:b w:val="0"/>
          <w:color w:val="555F6B"/>
          <w:sz w:val="26"/>
        </w:rPr>
        <w:t>Periodo: 25 agosto – 29 settembre 2026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rPr>
          <w:tblHeader w:val="true"/>
        </w:trPr>
        <w:tc>
          <w:tcPr>
            <w:tcW w:type="dxa" w:w="2835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Voce</w:t>
            </w:r>
          </w:p>
        </w:tc>
        <w:tc>
          <w:tcPr>
            <w:tcW w:type="dxa" w:w="11339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Dettaglio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Prodotto</w:t>
            </w:r>
          </w:p>
        </w:tc>
        <w:tc>
          <w:tcPr>
            <w:tcW w:type="dxa" w:w="11339"/>
          </w:tcPr>
          <w:p>
            <w:r/>
            <w:r>
              <w:rPr>
                <w:sz w:val="20"/>
              </w:rPr>
              <w:t>Cruscotto HR — Sistema di Monitoraggio HR della Pubblica Amministrazione</w:t>
            </w:r>
          </w:p>
        </w:tc>
      </w:tr>
      <w:tr>
        <w:tc>
          <w:tcPr>
            <w:tcW w:type="dxa" w:w="2835"/>
            <w:shd w:val="clear" w:color="auto" w:fill="EEF3F8"/>
          </w:tcPr>
          <w:p>
            <w:r/>
            <w:r>
              <w:rPr>
                <w:b/>
                <w:sz w:val="20"/>
              </w:rPr>
              <w:t>Oggetto</w:t>
            </w:r>
          </w:p>
        </w:tc>
        <w:tc>
          <w:tcPr>
            <w:tcW w:type="dxa" w:w="11339"/>
            <w:shd w:val="clear" w:color="auto" w:fill="EEF3F8"/>
          </w:tcPr>
          <w:p>
            <w:r/>
            <w:r>
              <w:rPr>
                <w:sz w:val="20"/>
              </w:rPr>
              <w:t>Elenco dettagliato delle attività svolte nel periodo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Attività censite</w:t>
            </w:r>
          </w:p>
        </w:tc>
        <w:tc>
          <w:tcPr>
            <w:tcW w:type="dxa" w:w="11339"/>
          </w:tcPr>
          <w:p>
            <w:r/>
            <w:r>
              <w:rPr>
                <w:sz w:val="20"/>
              </w:rPr>
              <w:t>132 (di cui 128 completate)</w:t>
            </w:r>
          </w:p>
        </w:tc>
      </w:tr>
      <w:tr>
        <w:tc>
          <w:tcPr>
            <w:tcW w:type="dxa" w:w="2835"/>
            <w:shd w:val="clear" w:color="auto" w:fill="EEF3F8"/>
          </w:tcPr>
          <w:p>
            <w:r/>
            <w:r>
              <w:rPr>
                <w:b/>
                <w:sz w:val="20"/>
              </w:rPr>
              <w:t>Aree di intervento</w:t>
            </w:r>
          </w:p>
        </w:tc>
        <w:tc>
          <w:tcPr>
            <w:tcW w:type="dxa" w:w="11339"/>
            <w:shd w:val="clear" w:color="auto" w:fill="EEF3F8"/>
          </w:tcPr>
          <w:p>
            <w:r/>
            <w:r>
              <w:rPr>
                <w:sz w:val="20"/>
              </w:rPr>
              <w:t>11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004080"/>
        </w:rPr>
        <w:t>1. Riepilogo per area</w:t>
      </w:r>
    </w:p>
    <w:p>
      <w:r>
        <w:t>Le attività sono raggruppate per area e numerate (es. D.05 = quinta attività dell'area D). Per ogni attività sono indicati data, descrizione, risultato prodotto e stato.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99"/>
        <w:gridCol w:w="3699"/>
        <w:gridCol w:w="3699"/>
        <w:gridCol w:w="3699"/>
      </w:tblGrid>
      <w:tr>
        <w:trPr>
          <w:tblHeader w:val="true"/>
        </w:trPr>
        <w:tc>
          <w:tcPr>
            <w:tcW w:type="dxa" w:w="850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Area</w:t>
            </w:r>
          </w:p>
        </w:tc>
        <w:tc>
          <w:tcPr>
            <w:tcW w:type="dxa" w:w="850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Descrizione</w:t>
            </w:r>
          </w:p>
        </w:tc>
        <w:tc>
          <w:tcPr>
            <w:tcW w:type="dxa" w:w="1701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N. attività</w:t>
            </w:r>
          </w:p>
        </w:tc>
        <w:tc>
          <w:tcPr>
            <w:tcW w:type="dxa" w:w="2835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Periodo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20"/>
              </w:rPr>
              <w:t>A</w:t>
            </w:r>
          </w:p>
        </w:tc>
        <w:tc>
          <w:tcPr>
            <w:tcW w:type="dxa" w:w="8504"/>
          </w:tcPr>
          <w:p>
            <w:r/>
            <w:r>
              <w:rPr>
                <w:sz w:val="20"/>
              </w:rPr>
              <w:t>Acquisizione e messa in funzione del prototipo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25/08 – 26/08</w:t>
            </w:r>
          </w:p>
        </w:tc>
      </w:tr>
      <w:tr>
        <w:tc>
          <w:tcPr>
            <w:tcW w:type="dxa" w:w="850"/>
            <w:shd w:val="clear" w:color="auto" w:fill="EEF3F8"/>
          </w:tcPr>
          <w:p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8504"/>
            <w:shd w:val="clear" w:color="auto" w:fill="EEF3F8"/>
          </w:tcPr>
          <w:p>
            <w:r/>
            <w:r>
              <w:rPr>
                <w:sz w:val="20"/>
              </w:rPr>
              <w:t>Ristrutturazione dell'architettura (livelli Component – Hook – Service)</w:t>
            </w:r>
          </w:p>
        </w:tc>
        <w:tc>
          <w:tcPr>
            <w:tcW w:type="dxa" w:w="1701"/>
            <w:shd w:val="clear" w:color="auto" w:fill="EEF3F8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25/08 – 27/08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8504"/>
          </w:tcPr>
          <w:p>
            <w:r/>
            <w:r>
              <w:rPr>
                <w:sz w:val="20"/>
              </w:rPr>
              <w:t>Qualità, robustezza e prestazioni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26/08 – 27/08</w:t>
            </w:r>
          </w:p>
        </w:tc>
      </w:tr>
      <w:tr>
        <w:tc>
          <w:tcPr>
            <w:tcW w:type="dxa" w:w="850"/>
            <w:shd w:val="clear" w:color="auto" w:fill="EEF3F8"/>
          </w:tcPr>
          <w:p>
            <w:r/>
            <w:r>
              <w:rPr>
                <w:b/>
                <w:sz w:val="20"/>
              </w:rPr>
              <w:t>D</w:t>
            </w:r>
          </w:p>
        </w:tc>
        <w:tc>
          <w:tcPr>
            <w:tcW w:type="dxa" w:w="8504"/>
            <w:shd w:val="clear" w:color="auto" w:fill="EEF3F8"/>
          </w:tcPr>
          <w:p>
            <w:r/>
            <w:r>
              <w:rPr>
                <w:sz w:val="20"/>
              </w:rPr>
              <w:t>Autenticazione e profilazione (Keycloak)</w:t>
            </w:r>
          </w:p>
        </w:tc>
        <w:tc>
          <w:tcPr>
            <w:tcW w:type="dxa" w:w="1701"/>
            <w:shd w:val="clear" w:color="auto" w:fill="EEF3F8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02/09 – 29/09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20"/>
              </w:rPr>
              <w:t>E</w:t>
            </w:r>
          </w:p>
        </w:tc>
        <w:tc>
          <w:tcPr>
            <w:tcW w:type="dxa" w:w="8504"/>
          </w:tcPr>
          <w:p>
            <w:r/>
            <w:r>
              <w:rPr>
                <w:sz w:val="20"/>
              </w:rPr>
              <w:t>Allineamento alla base dati reale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23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03/09 – 08/09</w:t>
            </w:r>
          </w:p>
        </w:tc>
      </w:tr>
      <w:tr>
        <w:tc>
          <w:tcPr>
            <w:tcW w:type="dxa" w:w="850"/>
            <w:shd w:val="clear" w:color="auto" w:fill="EEF3F8"/>
          </w:tcPr>
          <w:p>
            <w:r/>
            <w:r>
              <w:rPr>
                <w:b/>
                <w:sz w:val="20"/>
              </w:rPr>
              <w:t>F</w:t>
            </w:r>
          </w:p>
        </w:tc>
        <w:tc>
          <w:tcPr>
            <w:tcW w:type="dxa" w:w="8504"/>
            <w:shd w:val="clear" w:color="auto" w:fill="EEF3F8"/>
          </w:tcPr>
          <w:p>
            <w:r/>
            <w:r>
              <w:rPr>
                <w:sz w:val="20"/>
              </w:rPr>
              <w:t>Conto Annuale su dati reali (12 schede)</w:t>
            </w:r>
          </w:p>
        </w:tc>
        <w:tc>
          <w:tcPr>
            <w:tcW w:type="dxa" w:w="1701"/>
            <w:shd w:val="clear" w:color="auto" w:fill="EEF3F8"/>
          </w:tcPr>
          <w:p>
            <w:r/>
            <w:r>
              <w:rPr>
                <w:sz w:val="20"/>
              </w:rPr>
              <w:t>23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26/08 – 29/09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20"/>
              </w:rPr>
              <w:t>G</w:t>
            </w:r>
          </w:p>
        </w:tc>
        <w:tc>
          <w:tcPr>
            <w:tcW w:type="dxa" w:w="8504"/>
          </w:tcPr>
          <w:p>
            <w:r/>
            <w:r>
              <w:rPr>
                <w:sz w:val="20"/>
              </w:rPr>
              <w:t>Navigazione e dati dimostrativi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10/09 – 22/09</w:t>
            </w:r>
          </w:p>
        </w:tc>
      </w:tr>
      <w:tr>
        <w:tc>
          <w:tcPr>
            <w:tcW w:type="dxa" w:w="850"/>
            <w:shd w:val="clear" w:color="auto" w:fill="EEF3F8"/>
          </w:tcPr>
          <w:p>
            <w:r/>
            <w:r>
              <w:rPr>
                <w:b/>
                <w:sz w:val="20"/>
              </w:rPr>
              <w:t>H</w:t>
            </w:r>
          </w:p>
        </w:tc>
        <w:tc>
          <w:tcPr>
            <w:tcW w:type="dxa" w:w="8504"/>
            <w:shd w:val="clear" w:color="auto" w:fill="EEF3F8"/>
          </w:tcPr>
          <w:p>
            <w:r/>
            <w:r>
              <w:rPr>
                <w:sz w:val="20"/>
              </w:rPr>
              <w:t>Pannello di amministrazione</w:t>
            </w:r>
          </w:p>
        </w:tc>
        <w:tc>
          <w:tcPr>
            <w:tcW w:type="dxa" w:w="1701"/>
            <w:shd w:val="clear" w:color="auto" w:fill="EEF3F8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17/09 – 24/09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20"/>
              </w:rPr>
              <w:t>I</w:t>
            </w:r>
          </w:p>
        </w:tc>
        <w:tc>
          <w:tcPr>
            <w:tcW w:type="dxa" w:w="8504"/>
          </w:tcPr>
          <w:p>
            <w:r/>
            <w:r>
              <w:rPr>
                <w:sz w:val="20"/>
              </w:rPr>
              <w:t>Sicurezza e strato di protezione dei dati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02/09 – 25/09</w:t>
            </w:r>
          </w:p>
        </w:tc>
      </w:tr>
      <w:tr>
        <w:tc>
          <w:tcPr>
            <w:tcW w:type="dxa" w:w="850"/>
            <w:shd w:val="clear" w:color="auto" w:fill="EEF3F8"/>
          </w:tcPr>
          <w:p>
            <w:r/>
            <w:r>
              <w:rPr>
                <w:b/>
                <w:sz w:val="20"/>
              </w:rPr>
              <w:t>L</w:t>
            </w:r>
          </w:p>
        </w:tc>
        <w:tc>
          <w:tcPr>
            <w:tcW w:type="dxa" w:w="8504"/>
            <w:shd w:val="clear" w:color="auto" w:fill="EEF3F8"/>
          </w:tcPr>
          <w:p>
            <w:r/>
            <w:r>
              <w:rPr>
                <w:sz w:val="20"/>
              </w:rPr>
              <w:t>Rilascio, versioni e identità grafica</w:t>
            </w:r>
          </w:p>
        </w:tc>
        <w:tc>
          <w:tcPr>
            <w:tcW w:type="dxa" w:w="1701"/>
            <w:shd w:val="clear" w:color="auto" w:fill="EEF3F8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21/09 – 25/09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20"/>
              </w:rPr>
              <w:t>M</w:t>
            </w:r>
          </w:p>
        </w:tc>
        <w:tc>
          <w:tcPr>
            <w:tcW w:type="dxa" w:w="8504"/>
          </w:tcPr>
          <w:p>
            <w:r/>
            <w:r>
              <w:rPr>
                <w:sz w:val="20"/>
              </w:rPr>
              <w:t>Documentazione per committente e wiki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26/08 – 25/09</w:t>
            </w:r>
          </w:p>
        </w:tc>
      </w:tr>
      <w:tr>
        <w:tc>
          <w:tcPr>
            <w:tcW w:type="dxa" w:w="850"/>
            <w:shd w:val="clear" w:color="auto" w:fill="EEF3F8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8504"/>
            <w:shd w:val="clear" w:color="auto" w:fill="EEF3F8"/>
          </w:tcPr>
          <w:p>
            <w:r/>
            <w:r>
              <w:rPr>
                <w:sz w:val="20"/>
              </w:rPr>
              <w:t>Totale</w:t>
            </w:r>
          </w:p>
        </w:tc>
        <w:tc>
          <w:tcPr>
            <w:tcW w:type="dxa" w:w="1701"/>
            <w:shd w:val="clear" w:color="auto" w:fill="EEF3F8"/>
          </w:tcPr>
          <w:p>
            <w:r/>
            <w:r>
              <w:rPr>
                <w:sz w:val="20"/>
              </w:rPr>
              <w:t>132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25/08 – 29/09</w:t>
            </w:r>
          </w:p>
        </w:tc>
      </w:tr>
    </w:tbl>
    <w:p/>
    <w:p>
      <w:r>
        <w:rPr>
          <w:b/>
        </w:rPr>
        <w:t xml:space="preserve">Legenda stato. </w:t>
      </w:r>
      <w:r>
        <w:t>«Completato»: attività conclusa e verificata. «Consegnato – esecuzione a cura del sistemista»: lavoro pronto e consegnato, da installare sull'infrastruttura. «Completato – in attesa di dati/fonti»: predisposto, in attesa delle fonti dati.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4080"/>
        </w:rPr>
        <w:t>2. Dettaglio delle attività</w:t>
      </w:r>
    </w:p>
    <w:p>
      <w:pPr>
        <w:pStyle w:val="Heading2"/>
      </w:pPr>
      <w:r>
        <w:rPr>
          <w:rFonts w:ascii="Calibri" w:hAnsi="Calibri"/>
          <w:color w:val="004080"/>
        </w:rPr>
        <w:t>A. Acquisizione e messa in funzione del prototipo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79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N.</w:t>
            </w:r>
          </w:p>
        </w:tc>
        <w:tc>
          <w:tcPr>
            <w:tcW w:type="dxa" w:w="850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608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544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Descrizione</w:t>
            </w:r>
          </w:p>
        </w:tc>
        <w:tc>
          <w:tcPr>
            <w:tcW w:type="dxa" w:w="2835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Risultato / Output</w:t>
            </w:r>
          </w:p>
        </w:tc>
        <w:tc>
          <w:tcPr>
            <w:tcW w:type="dxa" w:w="198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Stato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A.01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25/08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Acquisizione del codice sorgente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Importazione del progetto del prototipo, installazione delle dipendenze e avvio dell'applicazione nell'ambiente di sviluppo.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Applicazione funzionante in ambiente di sviluppo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A.02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25/08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Analisi iniziale del codice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Censimento di struttura, dipendenze, accessi alla base dati, dati dimostrativi e punti critici del prototipo.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Elenco delle criticità di partenza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A.03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25/08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Configurazione unica per ambienti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Creato un unico punto di configurazione: indirizzi e chiavi della base dati letti dall'ambiente; rimossi i valori scritti nel codice (es. indirizzi locali non raggiungibili online).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Modulo di configurazione centralizzato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A.04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Porte e ricaricamento adattivi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Configurazione del server di sviluppo diversa per ambiente locale e ambiente gestito, con ricaricamento automatico condizionale.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Configurazione di avvio aggiornata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A.05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Pulizia del repository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Rimossi file non pertinenti al prodotto e aggiornate le regole di esclusione.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Repository contenente solo file di prodotto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A.06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Identità del pacchetto e istruzioni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Nome del pacchetto aggiornato in «cruscotto-hr»; README con istruzioni di avvio locale, configurazione e architettura.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README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B. Ristrutturazione dell'architettura (livelli Component – Hook – Service)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79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N.</w:t>
            </w:r>
          </w:p>
        </w:tc>
        <w:tc>
          <w:tcPr>
            <w:tcW w:type="dxa" w:w="850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608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544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Descrizione</w:t>
            </w:r>
          </w:p>
        </w:tc>
        <w:tc>
          <w:tcPr>
            <w:tcW w:type="dxa" w:w="2835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Risultato / Output</w:t>
            </w:r>
          </w:p>
        </w:tc>
        <w:tc>
          <w:tcPr>
            <w:tcW w:type="dxa" w:w="198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Stato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B.01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25/08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Introduzione del livello di servizio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Creati 18 servizi, uno per dominio (età, genere, cessazioni, assunzioni, formazione, modalità di lavoro, progressioni, enti, indici, D1, InPA, KPI, Lavoro Pubblico, Minerva, Syllabus, SIPrO, Pannello di Governo, percorsi).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Cartella dei servizi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B.02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25/08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Hook di caricamento semplificati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12–15 hook dati resi «sottili»: gestiscono solo caricamento, cache e stato, delegando l'accesso ai dati ai servizi.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Hook dati riorganizzati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B.03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25/08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Separazione grafica / dati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46 componenti grafici (InPA 13, KPI 3, Lavoro Pubblico 2, Minerva 6, Syllabus e altri) non interrogano più direttamente la base dati.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Componenti di sola presentazione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B.04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Regola automatica sull'architettura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Regola di controllo del codice che blocca qualsiasi importazione del client della base dati fuori dal livello di servizio.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Regola di qualità attiva (0 violazioni)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B.05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Componenti riutilizzabili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Mattoni comuni: indicatore (KpiStat), griglia (KpiGrid), card dei grafici (ChartCard), stati di caricamento/errore/vuoto (SectionStates), tema dei grafici, formattazione numeri, costanti centralizzate.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Libreria di componenti condivisi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B.06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Applicazione dei componenti alle schede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Rollout dei componenti condivisi su Lavoro agile, Cessazioni, Tasso di turnover e sostituzione, Formati, Genere: interfaccia uniforme.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Schede uniformate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B.07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Tipizzazione dei servizi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Servizi del Conto Annuale (età, genere, cessati, assunti, formazione, modalità di lavoro, progressioni) tipizzati sui tipi generati dalla base dati, eliminando i tipi generici.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Servizi tipizzati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B.08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27/08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Chiavi di cache centralizzate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Le chiavi di memoria temporanea dei dati sono centralizzate (11 hook, nessuna chiave scritta a mano).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Registro centralizzato delle chiavi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B.09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27/08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Suddivisione dei file troppo grandi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Rapporto narrativo ridotto da 1.189 a 340 righe; Percorso guidato da 742 a 228 righe, con comportamento invariato.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Moduli separati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B.10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27/08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Filtri da configurazione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Le opzioni dei filtri passano da dati dimostrativi a configurazione statica dedicata.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Configurazione filtri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B.11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27/08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Mappa dei dati dimostrativi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Punto d'ingresso unico per i dati dimostrativi residui, separati dal codice di produzione.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Cartella fixtures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C. Qualità, robustezza e prestazioni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79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N.</w:t>
            </w:r>
          </w:p>
        </w:tc>
        <w:tc>
          <w:tcPr>
            <w:tcW w:type="dxa" w:w="850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608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544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Descrizione</w:t>
            </w:r>
          </w:p>
        </w:tc>
        <w:tc>
          <w:tcPr>
            <w:tcW w:type="dxa" w:w="2835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Risultato / Output</w:t>
            </w:r>
          </w:p>
        </w:tc>
        <w:tc>
          <w:tcPr>
            <w:tcW w:type="dxa" w:w="198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Stato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C.01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Gestione centralizzata degli errori di caricamento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Ogni caricamento dati fallito genera un avviso all'utente, invece di fallire in silenzio.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Avvisi di errore globali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C.02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Correzione chiavi duplicate KPI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Eliminate le chiavi duplicate nella sezione KPI Abilitanti aggregando i KPI per codice.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Correzione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C.03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Correzione grafico radar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Evitati elementi grafici vuoti nel radar KPI quando non ci sono dati.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Correzione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C.04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Avvisi di navigazione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Attivate le impostazioni future del router per eliminare gli avvisi in console.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Console senza avvisi applicativi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C.05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Caricamento a richiesta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Pagine caricate solo quando servono e librerie separate: il pacchetto unico da ~1,9 MB è stato suddiviso.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Avvio più rapido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C.06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Impostazioni di cache dei dati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Valori predefiniti di aggiornamento e riutilizzo dei dati per ridurre richieste inutili.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Configurazione cache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C.07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Test automatici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Test unitari sulle trasformazioni dei dati di età, genere e cessazioni; ambiente di test ripristinato.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Test verdi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C.08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27/08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Protezione dallo «schermo bianco»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Componente di contenimento degli errori, globale e per pagina: un errore in un grafico non blocca più l'applicazione.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Error Boundary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C.09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27/08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Errori di analisi del codice azzerati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Corretti i 7 errori segnalati dai controlli automatici.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0 errori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C.10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27/08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Formattazione uniforme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Regole di formattazione e di editor comuni applicate automaticamente a 175 file.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Stile del codice uniforme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C.11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27/08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Rimozione codice inutilizzato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Eliminati componenti orfani, duplicati e dati dimostrativi non più usati.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Codice ridotto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D. Autenticazione e profilazione (Keycloak)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79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N.</w:t>
            </w:r>
          </w:p>
        </w:tc>
        <w:tc>
          <w:tcPr>
            <w:tcW w:type="dxa" w:w="850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608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544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Descrizione</w:t>
            </w:r>
          </w:p>
        </w:tc>
        <w:tc>
          <w:tcPr>
            <w:tcW w:type="dxa" w:w="2835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Risultato / Output</w:t>
            </w:r>
          </w:p>
        </w:tc>
        <w:tc>
          <w:tcPr>
            <w:tcW w:type="dxa" w:w="198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Stato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D.01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02/09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Integrazione single sign-on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Integrazione con Keycloak tramite flusso Authorization Code con PKCE, inizializzazione unica e rinnovo automatico del token; modalità ibrida per non interrompere l'accesso dimostrativo.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Modulo di autenticazione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D.02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02/09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Verifica assenza di segreti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Verificato che nessun segreto del client sia incluso nel pacchetto distribuito; segnalata la necessità di un client pubblico e di rigenerare il segreto esposto.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Verifica di sicurezza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D.03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02/09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Correzione blocco del controllo di sessione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Rimosso il controllo silenzioso in iframe, bloccato dalle politiche del server di identità: si usa solo il flusso con reindirizzamento.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Login funzionante end-to-end in locale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D.04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02/09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Riconoscimento dell'amministratore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Ruolo «amministratore-gru» (e varianti) mappato sul profilo DFP con visibilità completa.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Mappatura ruoli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D.05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02/09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Allineamento anagrafica enti di login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Individuate due anagrafiche enti con identificativi sovrapposti; login e denominazione allineati all'anagrafica unica.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Login coerente con i dati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D.06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02/09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Accesso solo SSO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Con Keycloak configurato la pagina di accesso mostra solo «Accedi con SSO»; ruolo ed ente arrivano dal token.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Pagina di accesso SSO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D.07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03/09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Ente dal codice ISTAT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Lettura dell'ente dal claim «istatcode» con protezioni sui valori non validi; ruoli Formez e amministratore unico mappati su DFP.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Profilo da token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D.08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03/09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Istruzioni utenti di test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Indicazioni per creare in Keycloak l'utente di test ente (Comune di Roma) e l'utente amministratore.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Istruzioni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D.09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10/09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Contratto dei claim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Documento per chi gestisce Keycloak: claim richiesti (ruoli, codice fiscale ente), formato e mapper da configurare.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CONTRATTO_CLAIM_KEYCLOAK (MD + PDF)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D.10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10/09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Configurazione ambiente locale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Ambiente locale collegato alla base dati reale e a Keycloak, con indicazioni sul claim ente.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Configurazione locale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D.11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17/09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Perimetro per codice fiscale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Lettura del claim «enti_cf» (elenco di codici fiscali); il codice fiscale viene passato automaticamente a tutte le 12 schede del Conto Annuale; denominazione dell'ente mostrata nell'intestazione.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Perimetro per ente attivo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D.12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17/09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Verifica su enti reali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Verifica dei dati filtrati per Comune di Roma (8.392 dipendenti 2024) e Sapienza Università di Roma (6.783).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Esito verifica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D.13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17/09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Protezione da fughe di dati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Un responsabile HR senza codice fiscale nel token non vede dati aggregati nazionali.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Regola anti-fuga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D.14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22/09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Ruoli consentiti espliciti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Elenco chiuso dei ruoli DFP/amministratore e responsabile HR; ruoli non riconosciuti bloccati; tentativi negati registrati nel log accessi.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Controllo dei ruoli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D.15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22/09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Schermata «Accesso non autorizzato»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Schermata dedicata con pulsante Esci per utenti autenticati ma non abilitati.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Nuova schermata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D.16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24/09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Tabella dei profili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Profili allineati alle combinazioni di ruoli reali.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Tabella profili (wiki)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D.17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24/09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Separazione DFP / amministratore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Il solo ruolo DFP (vista su tutti gli enti) non dà accesso al pannello di amministrazione; regola applicata sia nell'applicazione sia nello strato di protezione.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Regola di separazione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D.18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25/09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Avvio dopo l'accesso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Caricamento dati amministrativi e tracciamento della navigazione avviati solo dopo un accesso valido (eliminati errori 401/422 in fase di rientro).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Correzione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D.19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29/09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Messaggio utenti non autorizzati in pagina di accesso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La pagina di accesso gestisce lo stato «non autorizzato» mostrando il messaggio invece del pulsante SSO.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Correzione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E. Allineamento alla base dati reale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79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N.</w:t>
            </w:r>
          </w:p>
        </w:tc>
        <w:tc>
          <w:tcPr>
            <w:tcW w:type="dxa" w:w="850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608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544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Descrizione</w:t>
            </w:r>
          </w:p>
        </w:tc>
        <w:tc>
          <w:tcPr>
            <w:tcW w:type="dxa" w:w="2835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Risultato / Output</w:t>
            </w:r>
          </w:p>
        </w:tc>
        <w:tc>
          <w:tcPr>
            <w:tcW w:type="dxa" w:w="198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Stato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E.01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03/09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Mappatura grafici ↔ tabelle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Per ogni sezione e grafico: tabelle usate, chiave ente (id_ente, istituzione, codice fiscale, ente_id) e mappatura puntuale dei 12 grafici SIPrO.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MAPPATURA_TABELLE_GRAFICI (MD + PDF)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E.02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03/09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Colonne usate per tabella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Estrazione automatica delle colonne lette e di quelle usate per filtro/ordinamento per 54 tabelle.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Appendice colonne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E.03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03/09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Scheletro delle viste materializzate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Script con una vista per ciascuna delle 54 tabelle e le colonne attese, da completare sulla base dati reale.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MATERIALIZED_VIEWS_SKELETON.sql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E.04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Script di esportazione della base dati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Script e istruzioni per esportare schema e dati dall'ambiente cloud.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dump_supabase_public.sh, README_DUMP_RESTORE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E.05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Studio della base dati reale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Analisi del modello a dizionario (64 elementi, 27 indicatori con relative query); individuato il codice fiscale come chiave ente.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STUDIO_DB_REALE_E_PIANO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E.06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Vista anagrafica enti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Vista di compatibilità degli enti costruita e verificata: 23.594 enti.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Vista dw_ente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E.07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Vista indicatori per ente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Trasformazione dal modello a dizionario a tabella per ente: 264 enti monitorati, 78 metriche.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Vista v_kpi_ente_wide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E.08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Viste rilevazione KPI e verifica indicatori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Viste di compatibilità validate (115 enti della campagna allineata al dizionario).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Viste dw_kpi_rilevazione, dw_verifica_indicatori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E.09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Vista occupazione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Dai Conti Annuali reali: 1.211.654 righe.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Vista dw_occupazione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E.10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Vista assunzioni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221.737 righe.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Vista dw_assunti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E.11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Vista cessazioni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430.711 righe.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Vista dw_cessati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E.12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Vista età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2.836.412 righe.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Vista dw_eta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E.13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Vista formazione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491.209 righe.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Vista dw_formazione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E.14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Vista modalità di lavoro flessibile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95.896 righe.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Vista dw_modalita_lavoro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E.15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Collegamento enti tramite codice fiscale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Chiave ente dei Conti Annuali collegata all'anagrafica tramite codice fiscale: 12.274 corrispondenze verificate.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Regola di collegamento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E.16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Decodifica causali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18 causali; individuati e gestiti i codici con prefisso (A23, C01) usati nei dati.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Vista dw_causali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E.17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Decodifica comparti e contratti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49 combinazioni comparto/contratto con descrizioni.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Vista dw_comparto_contratto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E.18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Decodifica fasce d'età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12 fasce con etichette e ordinamento; corrispondenza verificata 12/12.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Vista dw_fascia_eta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E.19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Decodifica qualifiche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3.110 qualifiche per esteso; corrispondenza verificata al 100%.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Vista dw_qualifiche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E.20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Passaggi di qualifica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199.608 righe, con traduzione del tipo di passaggio (verticale/orizzontale).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Vista dw_passaggi_qualifica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E.21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08/09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Viste predisposte per fonti mancanti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13 viste conformi ma vuote (InPA, Syllabus, competenze/SIPrO, PTFP), verificate su base dati pulita: 13/13 senza errori.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Viste stub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 – in attesa di dati/fonti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E.22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08/09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Documento viste prodotte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Presentazione per committente ed esperti con punti aperti da validare (campagna KPI, metodologia indici, unità formazione, CF multipli).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VISTE_PRODOTTE (MD + PDF)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E.23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08/09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Documento viste → sorgenti → query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Indice delle 15 viste e query SQL complete di ciascuna (11 pagine).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VISTE_SORGENTI_QUERY (MD + PDF)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F. Conto Annuale su dati reali (12 schede)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79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N.</w:t>
            </w:r>
          </w:p>
        </w:tc>
        <w:tc>
          <w:tcPr>
            <w:tcW w:type="dxa" w:w="850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608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544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Descrizione</w:t>
            </w:r>
          </w:p>
        </w:tc>
        <w:tc>
          <w:tcPr>
            <w:tcW w:type="dxa" w:w="2835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Risultato / Output</w:t>
            </w:r>
          </w:p>
        </w:tc>
        <w:tc>
          <w:tcPr>
            <w:tcW w:type="dxa" w:w="198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Stato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F.01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Primo collegamento ai dati reali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Analisi per età, Benchmark, Cessazioni, Genere, Progressioni, Lavoro agile/flessibile, Turnover, Sostituzione e Formati collegati alle tabelle reali; dati demo residui contrassegnati.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Prime schede su dati reali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F.02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10/09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Scheda Analisi per età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Collegata alle funzioni di calcolo della base dati e verificata a schermo; definito lo schema Service → Hook → Componente replicato sulle altre schede.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Scheda + RIEPILOGO_TECNICO_SCHEDA_ETA (MD + PDF)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F.03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10/09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Filtri a cascata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Opzioni dei filtri lette dai dati con azzeramento a catena dei filtri dipendenti.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Barra filtri dinamica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F.04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10/09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Selettore ente per il DFP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Ricerca di un ente (es. Roma) con aggiornamento della scheda sui dati dell'ente; funzione riservata al DFP.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Selettore ente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F.05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12/09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Scheda Anzianità di servizio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Tre funzioni di calcolo; 4 indicatori, distribuzione con evidenza del genere selezionato, evoluzione impilata.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Scheda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F.06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12/09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Scheda Assunti per causale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Tre funzioni di calcolo; sostituito il componente dimostrativo; rimossa una voce di menu.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Scheda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F.07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12/09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Scheda Cessazioni dal servizio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Tre funzioni di calcolo; sostituito il componente dimostrativo.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Scheda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F.08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12/09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Schede Tasso di turnover e Tasso di sostituzione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Collegate alle funzioni di calcolo.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2 schede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F.09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12/09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Documentazione tecnica delle schede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Architettura delle chiamate, sistema dei filtri, schema Service/Hook/Componente e dettaglio delle schede (7 pagine).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DOCUMENTAZIONE_TECNICA_SCHEDE_CONTO_ANNUALE (MD + PDF)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F.10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14/09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Correzione Assunti per causale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La funzione di calcolo delle causali era stata rimossa dal backend: dati ora ottenuti dalla funzione delle causali con movimento «A»; controllate tutte le altre funzioni.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Correzione + segnalazione al backend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F.11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14/09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Nota di metodo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Documento sul metodo di costruzione delle schede, dei filtri e sul flusso dal clic al dato (5 pagine).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NOTA_DI_METODO_SCHEDE (PDF)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F.12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14/09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Mappature ufficiali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Archiviate le 6 mappature (età, anzianità, assunti, cessazioni, turnover, sostituzione) con indice e divergenze note.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Cartella mappature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F.13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16/09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Rifiniture da mappature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Filtro Genere bloccato dove non applicabile; rimossi i riferimenti fissi «2023»; rimosso grafico «Ore di formazione per tipologia»; etichette e note aggiornate.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Rifiniture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F.14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16/09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Verifica puntuale delle 6 nuove mappature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Confronto scheda per scheda tra mappature e implementazione, con elenco di quanto mancante.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Matrice di verifica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F.15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16/09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Scheda Progressioni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Indicatori ed evoluzione con intervallo di anni dinamico.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Scheda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F.16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16/09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Scheda Lavoro agile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4 indicatori, andamento, variazioni e ripartizione per genere.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Scheda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F.17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16/09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Scheda Lavoro flessibile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4 indicatori, «Crescita vs primo anno» con anno reale.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Scheda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F.18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16/09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Scheda Formazione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Indicatori, macrocategorie ed evoluzione; misura in giornate come da mappatura.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Scheda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F.19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16/09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Scheda Analisi del personale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4 indicatori, macrocategorie (con nota «selezionare un comparto»), titoli di studio, evoluzione.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Scheda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F.20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16/09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Scheda Analisi per genere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4 indicatori, distribuzione per qualifica, piramide e tabella di dettaglio.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Scheda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F.21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17/09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Regola N/D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Valori assenti mostrati come «N/D» in tutte le schede su dati reali.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Regola di visualizzazione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F.22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17/09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Pulizia dei componenti dimostrativi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Eliminati 7 componenti, 4 hook e 2 servizi non più utilizzati.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Codice ridotto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F.23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29/09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Nuovo ordine dei filtri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Ordine Comparto → Macrocategoria → Categoria; per i responsabili HR restano nascosti Regione e Comparto.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Barra filtri aggiornata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G. Navigazione e dati dimostrativi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79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N.</w:t>
            </w:r>
          </w:p>
        </w:tc>
        <w:tc>
          <w:tcPr>
            <w:tcW w:type="dxa" w:w="850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608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544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Descrizione</w:t>
            </w:r>
          </w:p>
        </w:tc>
        <w:tc>
          <w:tcPr>
            <w:tcW w:type="dxa" w:w="2835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Risultato / Output</w:t>
            </w:r>
          </w:p>
        </w:tc>
        <w:tc>
          <w:tcPr>
            <w:tcW w:type="dxa" w:w="198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Stato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G.01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10/09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Nascondimento D1 e D3 in Vista Sintetica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Dimensioni senza dati reali nascoste nella Vista Sintetica (Vista Executive invariata).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Configurazione menu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G.02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14/09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Tasto «Indietro» del browser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La navigazione tra viste e schede è registrata nella cronologia del browser.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Navigazione con cronologia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G.03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14/09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Rettifiche menu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Voci di menu riallineate alle sezioni effettivamente disponibili.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Menu aggiornato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G.04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14/09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Modalità «N/D»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Interruttore centrale che sostituisce i valori dimostrativi con «N/D» e grafici a zero, con banner «Dati non disponibili»; configurabile da ambiente.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Interruttore N/D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G.05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22/09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Riattivazione dati dimostrativi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Su richiesta, dati dimostrativi di nuovo visibili in InPA, Minerva, Syllabus, Lavoro Pubblico e dimensioni sintetiche; Conto Annuale invariato.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Configurazione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G.06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22/09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Banner «Dati a scopo dimostrativo»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Avviso in cima a tutte le sezioni dimostrative (InPA, Minerva, Syllabus, Lavoro Pubblico, D1, D3).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Banner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H. Pannello di amministrazione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79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N.</w:t>
            </w:r>
          </w:p>
        </w:tc>
        <w:tc>
          <w:tcPr>
            <w:tcW w:type="dxa" w:w="850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608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544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Descrizione</w:t>
            </w:r>
          </w:p>
        </w:tc>
        <w:tc>
          <w:tcPr>
            <w:tcW w:type="dxa" w:w="2835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Risultato / Output</w:t>
            </w:r>
          </w:p>
        </w:tc>
        <w:tc>
          <w:tcPr>
            <w:tcW w:type="dxa" w:w="198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Stato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H.01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17/09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Sezione «Schede»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Primo tab del pannello: schede organizzate per macro-sezione; Conto Annuale con le 12 schede attivabili, Syllabus e InPA predisposti; pulsanti «Attiva/Disattiva tutte».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Sezione Schede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H.02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17/09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Effetto dell'attivazione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Una scheda disattivata scompare dal menu e, se aperta, mostra «Funzione disattivata».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Comportamento attivo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H.03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17/09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Statistiche grafiche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Grafico a ciambella attive/disattive e grafico «Schede più consultate».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Grafici di sintesi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H.04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17/09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Script tabelle di amministrazione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Elenco completo delle 12 schede, corrispondenza scheda → funzioni di calcolo, script rieseguibile.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admin_tables.sql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Consegnato – esecuzione a cura del sistemista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H.05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18/09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Collegamento alla base dati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Attivazioni salvate nella base dati e condivise tra tutti gli utenti, con annullamento in caso di errore.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Pannello persistente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H.06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18/09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Registri reali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Scrittura reale di accessi, eventi ed errori (senza dettagli tecnici sensibili) e svuotamento dei registri.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Registri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H.07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18/09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Verifica end-to-end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Disattivazione/riattivazione di una scheda verificata direttamente sulla base dati.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Esito verifica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H.08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24/09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Guida tecnica dell'area di amministrazione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Schema dati, raccolta dei dati, endpoint, sicurezza e checklist per replicare l'area su altri progetti (9 sezioni).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AREA_ADMIN_GUIDA_TECNICA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I. Sicurezza e strato di protezione dei dati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79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N.</w:t>
            </w:r>
          </w:p>
        </w:tc>
        <w:tc>
          <w:tcPr>
            <w:tcW w:type="dxa" w:w="850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608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544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Descrizione</w:t>
            </w:r>
          </w:p>
        </w:tc>
        <w:tc>
          <w:tcPr>
            <w:tcW w:type="dxa" w:w="2835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Risultato / Output</w:t>
            </w:r>
          </w:p>
        </w:tc>
        <w:tc>
          <w:tcPr>
            <w:tcW w:type="dxa" w:w="198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Stato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I.01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02/09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Segnalazione dati personali esposti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Segnalato come priorità massima il blocco dell'accesso anonimo alle tabelle con dati di login.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Segnalazione P0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I.02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23/09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Pacchetto dello strato di protezione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Servizio intermedio che scambia il token Keycloak con un token di accesso ai dati: blocco ruoli non consentiti, ruoli da realm e client, schema dedicato, gestione errori.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Pacchetto backend_proxy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Consegnato – esecuzione a cura del sistemista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I.03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23/09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Regole di accesso per riga (RLS)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Funzioni che leggono i claim dal token, regole per tabelle e viste con codice fiscale, adeguamento delle funzioni di calcolo con una riga, protezione delle tabelle amministrative.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rls_perimetro_e_rpc.sql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Consegnato – esecuzione a cura del sistemista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I.04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23/09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Aggancio «a interruttore»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L'applicazione usa lo strato di protezione solo quando configurato; attivazione automatica in produzione, disattivato in sviluppo; rientro immediato possibile.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Aggancio frontend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I.05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23/09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Documento per il sistemista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Architettura, segreti, servizio di sistema, reverse proxy Apache e passi sulla base dati.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DEPLOY_PROXY_SICUREZZA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I.06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24/09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Controllo amministratore nello strato di protezione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Le funzioni amministrative richiedono il ruolo di amministratore, non la sola vista globale.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Regola aggiornata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I.07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25/09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Tolleranza sugli orologi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Tolleranza configurabile (120 s) per piccoli sfasamenti orari tra server, dopo la diagnosi degli errori in staging.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Correzione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Consegnato – esecuzione a cura del sistemista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I.08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25/09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Correzione SQL suggerita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Diagnosi dello stato in staging e istruzione SQL da far eseguire al sistemista, con messaggio pronto.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Indicazioni al sistemista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I.09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25/09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Font istituzionale interno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Font Titillium Web incluso nell'applicazione: nessuna richiesta a servizi esterni, compatibile con le politiche di sicurezza dei contenuti.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Font self-hosted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L. Rilascio, versioni e identità grafica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79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N.</w:t>
            </w:r>
          </w:p>
        </w:tc>
        <w:tc>
          <w:tcPr>
            <w:tcW w:type="dxa" w:w="850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608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544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Descrizione</w:t>
            </w:r>
          </w:p>
        </w:tc>
        <w:tc>
          <w:tcPr>
            <w:tcW w:type="dxa" w:w="2835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Risultato / Output</w:t>
            </w:r>
          </w:p>
        </w:tc>
        <w:tc>
          <w:tcPr>
            <w:tcW w:type="dxa" w:w="198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Stato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L.01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21/09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Favicon istituzionale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Stemma come icona dell'applicazione, anche per dispositivi Apple.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Favicon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L.02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22/09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Diagnosi versioni parziali nei browser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Analisi del caricamento di versioni incomplete su alcuni browser, dovuto alla memoria del browser.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Diagnosi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L.03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22/09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Ricarica automatica e pulizia cache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Ricarica automatica se una parte dell'applicazione non si carica; pulizia della memoria alla prima apertura di una nuova versione.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Modulo di gestione versioni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L.04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22/09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Identificativo di versione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Ogni rilascio ha un identificativo univoco e un file di versione consultato dall'applicazione.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version.json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L.05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22/09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Regole di cache per il server web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Regole per i principali server (Apache, Nginx, IIS, servizi statici) e documento di istruzioni.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DEPLOY_CACHE_HEADERS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L.06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22/09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Banner «Nuova versione disponibile»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Controllo all'avvio, al ritorno sulla finestra e ogni 5 minuti; invito a ricaricare.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Banner aggiornamento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L.07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25/09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Correzione cache dell'icona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Regole di cache riviste e aggiornamento forzato dell'icona; favicon rigenerata.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Correzione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M. Documentazione per committente e wiki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79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N.</w:t>
            </w:r>
          </w:p>
        </w:tc>
        <w:tc>
          <w:tcPr>
            <w:tcW w:type="dxa" w:w="850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608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544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Descrizione</w:t>
            </w:r>
          </w:p>
        </w:tc>
        <w:tc>
          <w:tcPr>
            <w:tcW w:type="dxa" w:w="2835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Risultato / Output</w:t>
            </w:r>
          </w:p>
        </w:tc>
        <w:tc>
          <w:tcPr>
            <w:tcW w:type="dxa" w:w="198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Stato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M.01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Report di ristrutturazione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Report completo: punto di partenza, numeri, confronto prima/dopo, schermate, architettura, esempi di codice prima/dopo, interventi fase per fase.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REPORT_REFACTORING (MD + PDF)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M.02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27/08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Domande tecniche al committente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7 aree di domande (enti/comuni, protezione dati, Keycloak, amministrazione, percorsi, dati, rilascio) con punti bloccanti.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DOMANDE_TECNICHE_CLIENTE (MD + PDF)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M.03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31/08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Versione «attività in corso»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Variante del report con linguaggio neutro e mappa dei file dimostrativi; rimossi i riferimenti al nome dello strumento di prototipazione e alla piattaforma.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REPORT_ATTIVITA_IN_CORSO (MD + PDF)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M.04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08/09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Verifica dei contenuti consegnabili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Controllo dell'assenza di riferimenti interni nei file e indicazioni per una consegna pulita.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Esito verifica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M.05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23/09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Prima wiki tecnica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11 pagine: panoramica, percorso di conversione, architettura a livelli, cartelle, autenticazione, sicurezza, dati, amministrazione, rilascio, convenzioni.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docs/wiki (v1)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M.06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24/09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Wiki come manuale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Wiki riscritta per un pubblico non tecnico: manuale utente, ruoli e accessi, panoramica architettura, stato e attività.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docs/wiki (v2)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M.07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24/09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Registro formale e sezione tecnica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Linguaggio formale e impersonale; nuova pagina di architettura tecnica per principi generali.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Pagina Architettura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  <w:shd w:val="clear" w:color="auto" w:fill="EEF3F8"/>
          </w:tcPr>
          <w:p>
            <w:r/>
            <w:r>
              <w:rPr>
                <w:b/>
                <w:sz w:val="20"/>
              </w:rPr>
              <w:t>M.08</w:t>
            </w:r>
          </w:p>
        </w:tc>
        <w:tc>
          <w:tcPr>
            <w:tcW w:type="dxa" w:w="850"/>
            <w:shd w:val="clear" w:color="auto" w:fill="EEF3F8"/>
          </w:tcPr>
          <w:p>
            <w:r/>
            <w:r>
              <w:rPr>
                <w:sz w:val="20"/>
              </w:rPr>
              <w:t>24/09</w:t>
            </w:r>
          </w:p>
        </w:tc>
        <w:tc>
          <w:tcPr>
            <w:tcW w:type="dxa" w:w="2608"/>
            <w:shd w:val="clear" w:color="auto" w:fill="EEF3F8"/>
          </w:tcPr>
          <w:p>
            <w:r/>
            <w:r>
              <w:rPr>
                <w:sz w:val="20"/>
              </w:rPr>
              <w:t>Menu della wiki e collegamenti</w:t>
            </w:r>
          </w:p>
        </w:tc>
        <w:tc>
          <w:tcPr>
            <w:tcW w:type="dxa" w:w="5443"/>
            <w:shd w:val="clear" w:color="auto" w:fill="EEF3F8"/>
          </w:tcPr>
          <w:p>
            <w:r/>
            <w:r>
              <w:rPr>
                <w:sz w:val="20"/>
              </w:rPr>
              <w:t>Menu laterale e collegamenti nel formato della wiki; data di ultimo aggiornamento.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_sidebar</w:t>
            </w:r>
          </w:p>
        </w:tc>
        <w:tc>
          <w:tcPr>
            <w:tcW w:type="dxa" w:w="1984"/>
            <w:shd w:val="clear" w:color="auto" w:fill="EEF3F8"/>
          </w:tcPr>
          <w:p>
            <w:r/>
            <w:r>
              <w:rPr>
                <w:sz w:val="20"/>
              </w:rPr>
              <w:t>Completato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/>
                <w:sz w:val="20"/>
              </w:rPr>
              <w:t>M.09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25/09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Note di rilascio</w:t>
            </w:r>
          </w:p>
        </w:tc>
        <w:tc>
          <w:tcPr>
            <w:tcW w:type="dxa" w:w="5443"/>
          </w:tcPr>
          <w:p>
            <w:r/>
            <w:r>
              <w:rPr>
                <w:sz w:val="20"/>
              </w:rPr>
              <w:t>Pagina «Stato e attività» aggiornata con la sezione «Rilascio del 25/09/2026».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Stato e Roadmap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Completato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004080"/>
        </w:rPr>
        <w:t>3. Documenti e script consegnati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99"/>
        <w:gridCol w:w="3699"/>
        <w:gridCol w:w="3699"/>
        <w:gridCol w:w="3699"/>
      </w:tblGrid>
      <w:tr>
        <w:trPr>
          <w:tblHeader w:val="true"/>
        </w:trPr>
        <w:tc>
          <w:tcPr>
            <w:tcW w:type="dxa" w:w="907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Rif.</w:t>
            </w:r>
          </w:p>
        </w:tc>
        <w:tc>
          <w:tcPr>
            <w:tcW w:type="dxa" w:w="1020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5386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Documento / file</w:t>
            </w:r>
          </w:p>
        </w:tc>
        <w:tc>
          <w:tcPr>
            <w:tcW w:type="dxa" w:w="714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</w:tr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A.06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README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Identità del pacchetto e istruzioni</w:t>
            </w:r>
          </w:p>
        </w:tc>
      </w:tr>
      <w:tr>
        <w:tc>
          <w:tcPr>
            <w:tcW w:type="dxa" w:w="907"/>
            <w:shd w:val="clear" w:color="auto" w:fill="EEF3F8"/>
          </w:tcPr>
          <w:p>
            <w:r/>
            <w:r>
              <w:rPr>
                <w:b/>
                <w:sz w:val="20"/>
              </w:rPr>
              <w:t>D.09</w:t>
            </w:r>
          </w:p>
        </w:tc>
        <w:tc>
          <w:tcPr>
            <w:tcW w:type="dxa" w:w="1020"/>
            <w:shd w:val="clear" w:color="auto" w:fill="EEF3F8"/>
          </w:tcPr>
          <w:p>
            <w:r/>
            <w:r>
              <w:rPr>
                <w:sz w:val="20"/>
              </w:rPr>
              <w:t>10/09</w:t>
            </w:r>
          </w:p>
        </w:tc>
        <w:tc>
          <w:tcPr>
            <w:tcW w:type="dxa" w:w="5386"/>
            <w:shd w:val="clear" w:color="auto" w:fill="EEF3F8"/>
          </w:tcPr>
          <w:p>
            <w:r/>
            <w:r>
              <w:rPr>
                <w:sz w:val="20"/>
              </w:rPr>
              <w:t>CONTRATTO_CLAIM_KEYCLOAK (MD + PDF)</w:t>
            </w:r>
          </w:p>
        </w:tc>
        <w:tc>
          <w:tcPr>
            <w:tcW w:type="dxa" w:w="7143"/>
            <w:shd w:val="clear" w:color="auto" w:fill="EEF3F8"/>
          </w:tcPr>
          <w:p>
            <w:r/>
            <w:r>
              <w:rPr>
                <w:sz w:val="20"/>
              </w:rPr>
              <w:t>Contratto dei claim</w:t>
            </w:r>
          </w:p>
        </w:tc>
      </w:tr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D.16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24/09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Tabella profili (wiki)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Tabella dei profili</w:t>
            </w:r>
          </w:p>
        </w:tc>
      </w:tr>
      <w:tr>
        <w:tc>
          <w:tcPr>
            <w:tcW w:type="dxa" w:w="907"/>
            <w:shd w:val="clear" w:color="auto" w:fill="EEF3F8"/>
          </w:tcPr>
          <w:p>
            <w:r/>
            <w:r>
              <w:rPr>
                <w:b/>
                <w:sz w:val="20"/>
              </w:rPr>
              <w:t>E.01</w:t>
            </w:r>
          </w:p>
        </w:tc>
        <w:tc>
          <w:tcPr>
            <w:tcW w:type="dxa" w:w="1020"/>
            <w:shd w:val="clear" w:color="auto" w:fill="EEF3F8"/>
          </w:tcPr>
          <w:p>
            <w:r/>
            <w:r>
              <w:rPr>
                <w:sz w:val="20"/>
              </w:rPr>
              <w:t>03/09</w:t>
            </w:r>
          </w:p>
        </w:tc>
        <w:tc>
          <w:tcPr>
            <w:tcW w:type="dxa" w:w="5386"/>
            <w:shd w:val="clear" w:color="auto" w:fill="EEF3F8"/>
          </w:tcPr>
          <w:p>
            <w:r/>
            <w:r>
              <w:rPr>
                <w:sz w:val="20"/>
              </w:rPr>
              <w:t>MAPPATURA_TABELLE_GRAFICI (MD + PDF)</w:t>
            </w:r>
          </w:p>
        </w:tc>
        <w:tc>
          <w:tcPr>
            <w:tcW w:type="dxa" w:w="7143"/>
            <w:shd w:val="clear" w:color="auto" w:fill="EEF3F8"/>
          </w:tcPr>
          <w:p>
            <w:r/>
            <w:r>
              <w:rPr>
                <w:sz w:val="20"/>
              </w:rPr>
              <w:t>Mappatura grafici ↔ tabelle</w:t>
            </w:r>
          </w:p>
        </w:tc>
      </w:tr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E.03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03/09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MATERIALIZED_VIEWS_SKELETON.sql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Scheletro delle viste materializzate</w:t>
            </w:r>
          </w:p>
        </w:tc>
      </w:tr>
      <w:tr>
        <w:tc>
          <w:tcPr>
            <w:tcW w:type="dxa" w:w="907"/>
            <w:shd w:val="clear" w:color="auto" w:fill="EEF3F8"/>
          </w:tcPr>
          <w:p>
            <w:r/>
            <w:r>
              <w:rPr>
                <w:b/>
                <w:sz w:val="20"/>
              </w:rPr>
              <w:t>E.04</w:t>
            </w:r>
          </w:p>
        </w:tc>
        <w:tc>
          <w:tcPr>
            <w:tcW w:type="dxa" w:w="1020"/>
            <w:shd w:val="clear" w:color="auto" w:fill="EEF3F8"/>
          </w:tcPr>
          <w:p>
            <w:r/>
            <w:r>
              <w:rPr>
                <w:sz w:val="20"/>
              </w:rPr>
              <w:t>07/09</w:t>
            </w:r>
          </w:p>
        </w:tc>
        <w:tc>
          <w:tcPr>
            <w:tcW w:type="dxa" w:w="5386"/>
            <w:shd w:val="clear" w:color="auto" w:fill="EEF3F8"/>
          </w:tcPr>
          <w:p>
            <w:r/>
            <w:r>
              <w:rPr>
                <w:sz w:val="20"/>
              </w:rPr>
              <w:t>dump_supabase_public.sh, README_DUMP_RESTORE</w:t>
            </w:r>
          </w:p>
        </w:tc>
        <w:tc>
          <w:tcPr>
            <w:tcW w:type="dxa" w:w="7143"/>
            <w:shd w:val="clear" w:color="auto" w:fill="EEF3F8"/>
          </w:tcPr>
          <w:p>
            <w:r/>
            <w:r>
              <w:rPr>
                <w:sz w:val="20"/>
              </w:rPr>
              <w:t>Script di esportazione della base dati</w:t>
            </w:r>
          </w:p>
        </w:tc>
      </w:tr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E.22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08/09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VISTE_PRODOTTE (MD + PDF)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Documento viste prodotte</w:t>
            </w:r>
          </w:p>
        </w:tc>
      </w:tr>
      <w:tr>
        <w:tc>
          <w:tcPr>
            <w:tcW w:type="dxa" w:w="907"/>
            <w:shd w:val="clear" w:color="auto" w:fill="EEF3F8"/>
          </w:tcPr>
          <w:p>
            <w:r/>
            <w:r>
              <w:rPr>
                <w:b/>
                <w:sz w:val="20"/>
              </w:rPr>
              <w:t>E.23</w:t>
            </w:r>
          </w:p>
        </w:tc>
        <w:tc>
          <w:tcPr>
            <w:tcW w:type="dxa" w:w="1020"/>
            <w:shd w:val="clear" w:color="auto" w:fill="EEF3F8"/>
          </w:tcPr>
          <w:p>
            <w:r/>
            <w:r>
              <w:rPr>
                <w:sz w:val="20"/>
              </w:rPr>
              <w:t>08/09</w:t>
            </w:r>
          </w:p>
        </w:tc>
        <w:tc>
          <w:tcPr>
            <w:tcW w:type="dxa" w:w="5386"/>
            <w:shd w:val="clear" w:color="auto" w:fill="EEF3F8"/>
          </w:tcPr>
          <w:p>
            <w:r/>
            <w:r>
              <w:rPr>
                <w:sz w:val="20"/>
              </w:rPr>
              <w:t>VISTE_SORGENTI_QUERY (MD + PDF)</w:t>
            </w:r>
          </w:p>
        </w:tc>
        <w:tc>
          <w:tcPr>
            <w:tcW w:type="dxa" w:w="7143"/>
            <w:shd w:val="clear" w:color="auto" w:fill="EEF3F8"/>
          </w:tcPr>
          <w:p>
            <w:r/>
            <w:r>
              <w:rPr>
                <w:sz w:val="20"/>
              </w:rPr>
              <w:t>Documento viste → sorgenti → query</w:t>
            </w:r>
          </w:p>
        </w:tc>
      </w:tr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F.02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10/09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Scheda + RIEPILOGO_TECNICO_SCHEDA_ETA (MD + PDF)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Scheda Analisi per età</w:t>
            </w:r>
          </w:p>
        </w:tc>
      </w:tr>
      <w:tr>
        <w:tc>
          <w:tcPr>
            <w:tcW w:type="dxa" w:w="907"/>
            <w:shd w:val="clear" w:color="auto" w:fill="EEF3F8"/>
          </w:tcPr>
          <w:p>
            <w:r/>
            <w:r>
              <w:rPr>
                <w:b/>
                <w:sz w:val="20"/>
              </w:rPr>
              <w:t>F.09</w:t>
            </w:r>
          </w:p>
        </w:tc>
        <w:tc>
          <w:tcPr>
            <w:tcW w:type="dxa" w:w="1020"/>
            <w:shd w:val="clear" w:color="auto" w:fill="EEF3F8"/>
          </w:tcPr>
          <w:p>
            <w:r/>
            <w:r>
              <w:rPr>
                <w:sz w:val="20"/>
              </w:rPr>
              <w:t>12/09</w:t>
            </w:r>
          </w:p>
        </w:tc>
        <w:tc>
          <w:tcPr>
            <w:tcW w:type="dxa" w:w="5386"/>
            <w:shd w:val="clear" w:color="auto" w:fill="EEF3F8"/>
          </w:tcPr>
          <w:p>
            <w:r/>
            <w:r>
              <w:rPr>
                <w:sz w:val="20"/>
              </w:rPr>
              <w:t>DOCUMENTAZIONE_TECNICA_SCHEDE_CONTO_ANNUALE (MD + PDF)</w:t>
            </w:r>
          </w:p>
        </w:tc>
        <w:tc>
          <w:tcPr>
            <w:tcW w:type="dxa" w:w="7143"/>
            <w:shd w:val="clear" w:color="auto" w:fill="EEF3F8"/>
          </w:tcPr>
          <w:p>
            <w:r/>
            <w:r>
              <w:rPr>
                <w:sz w:val="20"/>
              </w:rPr>
              <w:t>Documentazione tecnica delle schede</w:t>
            </w:r>
          </w:p>
        </w:tc>
      </w:tr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F.11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14/09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NOTA_DI_METODO_SCHEDE (PDF)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Nota di metodo</w:t>
            </w:r>
          </w:p>
        </w:tc>
      </w:tr>
      <w:tr>
        <w:tc>
          <w:tcPr>
            <w:tcW w:type="dxa" w:w="907"/>
            <w:shd w:val="clear" w:color="auto" w:fill="EEF3F8"/>
          </w:tcPr>
          <w:p>
            <w:r/>
            <w:r>
              <w:rPr>
                <w:b/>
                <w:sz w:val="20"/>
              </w:rPr>
              <w:t>H.04</w:t>
            </w:r>
          </w:p>
        </w:tc>
        <w:tc>
          <w:tcPr>
            <w:tcW w:type="dxa" w:w="1020"/>
            <w:shd w:val="clear" w:color="auto" w:fill="EEF3F8"/>
          </w:tcPr>
          <w:p>
            <w:r/>
            <w:r>
              <w:rPr>
                <w:sz w:val="20"/>
              </w:rPr>
              <w:t>17/09</w:t>
            </w:r>
          </w:p>
        </w:tc>
        <w:tc>
          <w:tcPr>
            <w:tcW w:type="dxa" w:w="5386"/>
            <w:shd w:val="clear" w:color="auto" w:fill="EEF3F8"/>
          </w:tcPr>
          <w:p>
            <w:r/>
            <w:r>
              <w:rPr>
                <w:sz w:val="20"/>
              </w:rPr>
              <w:t>admin_tables.sql</w:t>
            </w:r>
          </w:p>
        </w:tc>
        <w:tc>
          <w:tcPr>
            <w:tcW w:type="dxa" w:w="7143"/>
            <w:shd w:val="clear" w:color="auto" w:fill="EEF3F8"/>
          </w:tcPr>
          <w:p>
            <w:r/>
            <w:r>
              <w:rPr>
                <w:sz w:val="20"/>
              </w:rPr>
              <w:t>Script tabelle di amministrazione</w:t>
            </w:r>
          </w:p>
        </w:tc>
      </w:tr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H.08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24/09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AREA_ADMIN_GUIDA_TECNICA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Guida tecnica dell'area di amministrazione</w:t>
            </w:r>
          </w:p>
        </w:tc>
      </w:tr>
      <w:tr>
        <w:tc>
          <w:tcPr>
            <w:tcW w:type="dxa" w:w="907"/>
            <w:shd w:val="clear" w:color="auto" w:fill="EEF3F8"/>
          </w:tcPr>
          <w:p>
            <w:r/>
            <w:r>
              <w:rPr>
                <w:b/>
                <w:sz w:val="20"/>
              </w:rPr>
              <w:t>I.03</w:t>
            </w:r>
          </w:p>
        </w:tc>
        <w:tc>
          <w:tcPr>
            <w:tcW w:type="dxa" w:w="1020"/>
            <w:shd w:val="clear" w:color="auto" w:fill="EEF3F8"/>
          </w:tcPr>
          <w:p>
            <w:r/>
            <w:r>
              <w:rPr>
                <w:sz w:val="20"/>
              </w:rPr>
              <w:t>23/09</w:t>
            </w:r>
          </w:p>
        </w:tc>
        <w:tc>
          <w:tcPr>
            <w:tcW w:type="dxa" w:w="5386"/>
            <w:shd w:val="clear" w:color="auto" w:fill="EEF3F8"/>
          </w:tcPr>
          <w:p>
            <w:r/>
            <w:r>
              <w:rPr>
                <w:sz w:val="20"/>
              </w:rPr>
              <w:t>rls_perimetro_e_rpc.sql</w:t>
            </w:r>
          </w:p>
        </w:tc>
        <w:tc>
          <w:tcPr>
            <w:tcW w:type="dxa" w:w="7143"/>
            <w:shd w:val="clear" w:color="auto" w:fill="EEF3F8"/>
          </w:tcPr>
          <w:p>
            <w:r/>
            <w:r>
              <w:rPr>
                <w:sz w:val="20"/>
              </w:rPr>
              <w:t>Regole di accesso per riga (RLS)</w:t>
            </w:r>
          </w:p>
        </w:tc>
      </w:tr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I.05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23/09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DEPLOY_PROXY_SICUREZZA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Documento per il sistemista</w:t>
            </w:r>
          </w:p>
        </w:tc>
      </w:tr>
      <w:tr>
        <w:tc>
          <w:tcPr>
            <w:tcW w:type="dxa" w:w="907"/>
            <w:shd w:val="clear" w:color="auto" w:fill="EEF3F8"/>
          </w:tcPr>
          <w:p>
            <w:r/>
            <w:r>
              <w:rPr>
                <w:b/>
                <w:sz w:val="20"/>
              </w:rPr>
              <w:t>L.04</w:t>
            </w:r>
          </w:p>
        </w:tc>
        <w:tc>
          <w:tcPr>
            <w:tcW w:type="dxa" w:w="1020"/>
            <w:shd w:val="clear" w:color="auto" w:fill="EEF3F8"/>
          </w:tcPr>
          <w:p>
            <w:r/>
            <w:r>
              <w:rPr>
                <w:sz w:val="20"/>
              </w:rPr>
              <w:t>22/09</w:t>
            </w:r>
          </w:p>
        </w:tc>
        <w:tc>
          <w:tcPr>
            <w:tcW w:type="dxa" w:w="5386"/>
            <w:shd w:val="clear" w:color="auto" w:fill="EEF3F8"/>
          </w:tcPr>
          <w:p>
            <w:r/>
            <w:r>
              <w:rPr>
                <w:sz w:val="20"/>
              </w:rPr>
              <w:t>version.json</w:t>
            </w:r>
          </w:p>
        </w:tc>
        <w:tc>
          <w:tcPr>
            <w:tcW w:type="dxa" w:w="7143"/>
            <w:shd w:val="clear" w:color="auto" w:fill="EEF3F8"/>
          </w:tcPr>
          <w:p>
            <w:r/>
            <w:r>
              <w:rPr>
                <w:sz w:val="20"/>
              </w:rPr>
              <w:t>Identificativo di versione</w:t>
            </w:r>
          </w:p>
        </w:tc>
      </w:tr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L.05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22/09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DEPLOY_CACHE_HEADERS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Regole di cache per il server web</w:t>
            </w:r>
          </w:p>
        </w:tc>
      </w:tr>
      <w:tr>
        <w:tc>
          <w:tcPr>
            <w:tcW w:type="dxa" w:w="907"/>
            <w:shd w:val="clear" w:color="auto" w:fill="EEF3F8"/>
          </w:tcPr>
          <w:p>
            <w:r/>
            <w:r>
              <w:rPr>
                <w:b/>
                <w:sz w:val="20"/>
              </w:rPr>
              <w:t>M.01</w:t>
            </w:r>
          </w:p>
        </w:tc>
        <w:tc>
          <w:tcPr>
            <w:tcW w:type="dxa" w:w="1020"/>
            <w:shd w:val="clear" w:color="auto" w:fill="EEF3F8"/>
          </w:tcPr>
          <w:p>
            <w:r/>
            <w:r>
              <w:rPr>
                <w:sz w:val="20"/>
              </w:rPr>
              <w:t>26/08</w:t>
            </w:r>
          </w:p>
        </w:tc>
        <w:tc>
          <w:tcPr>
            <w:tcW w:type="dxa" w:w="5386"/>
            <w:shd w:val="clear" w:color="auto" w:fill="EEF3F8"/>
          </w:tcPr>
          <w:p>
            <w:r/>
            <w:r>
              <w:rPr>
                <w:sz w:val="20"/>
              </w:rPr>
              <w:t>REPORT_REFACTORING (MD + PDF)</w:t>
            </w:r>
          </w:p>
        </w:tc>
        <w:tc>
          <w:tcPr>
            <w:tcW w:type="dxa" w:w="7143"/>
            <w:shd w:val="clear" w:color="auto" w:fill="EEF3F8"/>
          </w:tcPr>
          <w:p>
            <w:r/>
            <w:r>
              <w:rPr>
                <w:sz w:val="20"/>
              </w:rPr>
              <w:t>Report di ristrutturazione</w:t>
            </w:r>
          </w:p>
        </w:tc>
      </w:tr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M.02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27/08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DOMANDE_TECNICHE_CLIENTE (MD + PDF)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Domande tecniche al committente</w:t>
            </w:r>
          </w:p>
        </w:tc>
      </w:tr>
      <w:tr>
        <w:tc>
          <w:tcPr>
            <w:tcW w:type="dxa" w:w="907"/>
            <w:shd w:val="clear" w:color="auto" w:fill="EEF3F8"/>
          </w:tcPr>
          <w:p>
            <w:r/>
            <w:r>
              <w:rPr>
                <w:b/>
                <w:sz w:val="20"/>
              </w:rPr>
              <w:t>M.03</w:t>
            </w:r>
          </w:p>
        </w:tc>
        <w:tc>
          <w:tcPr>
            <w:tcW w:type="dxa" w:w="1020"/>
            <w:shd w:val="clear" w:color="auto" w:fill="EEF3F8"/>
          </w:tcPr>
          <w:p>
            <w:r/>
            <w:r>
              <w:rPr>
                <w:sz w:val="20"/>
              </w:rPr>
              <w:t>31/08</w:t>
            </w:r>
          </w:p>
        </w:tc>
        <w:tc>
          <w:tcPr>
            <w:tcW w:type="dxa" w:w="5386"/>
            <w:shd w:val="clear" w:color="auto" w:fill="EEF3F8"/>
          </w:tcPr>
          <w:p>
            <w:r/>
            <w:r>
              <w:rPr>
                <w:sz w:val="20"/>
              </w:rPr>
              <w:t>REPORT_ATTIVITA_IN_CORSO (MD + PDF)</w:t>
            </w:r>
          </w:p>
        </w:tc>
        <w:tc>
          <w:tcPr>
            <w:tcW w:type="dxa" w:w="7143"/>
            <w:shd w:val="clear" w:color="auto" w:fill="EEF3F8"/>
          </w:tcPr>
          <w:p>
            <w:r/>
            <w:r>
              <w:rPr>
                <w:sz w:val="20"/>
              </w:rPr>
              <w:t>Versione «attività in corso»</w:t>
            </w:r>
          </w:p>
        </w:tc>
      </w:tr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M.05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23/09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docs/wiki (v1)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Prima wiki tecnica</w:t>
            </w:r>
          </w:p>
        </w:tc>
      </w:tr>
      <w:tr>
        <w:tc>
          <w:tcPr>
            <w:tcW w:type="dxa" w:w="907"/>
            <w:shd w:val="clear" w:color="auto" w:fill="EEF3F8"/>
          </w:tcPr>
          <w:p>
            <w:r/>
            <w:r>
              <w:rPr>
                <w:b/>
                <w:sz w:val="20"/>
              </w:rPr>
              <w:t>M.06</w:t>
            </w:r>
          </w:p>
        </w:tc>
        <w:tc>
          <w:tcPr>
            <w:tcW w:type="dxa" w:w="1020"/>
            <w:shd w:val="clear" w:color="auto" w:fill="EEF3F8"/>
          </w:tcPr>
          <w:p>
            <w:r/>
            <w:r>
              <w:rPr>
                <w:sz w:val="20"/>
              </w:rPr>
              <w:t>24/09</w:t>
            </w:r>
          </w:p>
        </w:tc>
        <w:tc>
          <w:tcPr>
            <w:tcW w:type="dxa" w:w="5386"/>
            <w:shd w:val="clear" w:color="auto" w:fill="EEF3F8"/>
          </w:tcPr>
          <w:p>
            <w:r/>
            <w:r>
              <w:rPr>
                <w:sz w:val="20"/>
              </w:rPr>
              <w:t>docs/wiki (v2)</w:t>
            </w:r>
          </w:p>
        </w:tc>
        <w:tc>
          <w:tcPr>
            <w:tcW w:type="dxa" w:w="7143"/>
            <w:shd w:val="clear" w:color="auto" w:fill="EEF3F8"/>
          </w:tcPr>
          <w:p>
            <w:r/>
            <w:r>
              <w:rPr>
                <w:sz w:val="20"/>
              </w:rPr>
              <w:t>Wiki come manuale</w:t>
            </w:r>
          </w:p>
        </w:tc>
      </w:tr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M.09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25/09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Stato e Roadmap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Note di rilascio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04080"/>
        </w:rPr>
        <w:t>4. Attività con passi a carico di terzi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  <w:gridCol w:w="4933"/>
      </w:tblGrid>
      <w:tr>
        <w:trPr>
          <w:tblHeader w:val="true"/>
        </w:trPr>
        <w:tc>
          <w:tcPr>
            <w:tcW w:type="dxa" w:w="907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Rif.</w:t>
            </w:r>
          </w:p>
        </w:tc>
        <w:tc>
          <w:tcPr>
            <w:tcW w:type="dxa" w:w="7937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5669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Stato</w:t>
            </w:r>
          </w:p>
        </w:tc>
      </w:tr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E.21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Viste predisposte per fonti mancanti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Completato – in attesa di dati/fonti</w:t>
            </w:r>
          </w:p>
        </w:tc>
      </w:tr>
      <w:tr>
        <w:tc>
          <w:tcPr>
            <w:tcW w:type="dxa" w:w="907"/>
            <w:shd w:val="clear" w:color="auto" w:fill="EEF3F8"/>
          </w:tcPr>
          <w:p>
            <w:r/>
            <w:r>
              <w:rPr>
                <w:b/>
                <w:sz w:val="20"/>
              </w:rPr>
              <w:t>H.04</w:t>
            </w:r>
          </w:p>
        </w:tc>
        <w:tc>
          <w:tcPr>
            <w:tcW w:type="dxa" w:w="7937"/>
            <w:shd w:val="clear" w:color="auto" w:fill="EEF3F8"/>
          </w:tcPr>
          <w:p>
            <w:r/>
            <w:r>
              <w:rPr>
                <w:sz w:val="20"/>
              </w:rPr>
              <w:t>Script tabelle di amministrazione</w:t>
            </w:r>
          </w:p>
        </w:tc>
        <w:tc>
          <w:tcPr>
            <w:tcW w:type="dxa" w:w="5669"/>
            <w:shd w:val="clear" w:color="auto" w:fill="EEF3F8"/>
          </w:tcPr>
          <w:p>
            <w:r/>
            <w:r>
              <w:rPr>
                <w:sz w:val="20"/>
              </w:rPr>
              <w:t>Consegnato – esecuzione a cura del sistemista</w:t>
            </w:r>
          </w:p>
        </w:tc>
      </w:tr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I.02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Pacchetto dello strato di protezione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Consegnato – esecuzione a cura del sistemista</w:t>
            </w:r>
          </w:p>
        </w:tc>
      </w:tr>
      <w:tr>
        <w:tc>
          <w:tcPr>
            <w:tcW w:type="dxa" w:w="907"/>
            <w:shd w:val="clear" w:color="auto" w:fill="EEF3F8"/>
          </w:tcPr>
          <w:p>
            <w:r/>
            <w:r>
              <w:rPr>
                <w:b/>
                <w:sz w:val="20"/>
              </w:rPr>
              <w:t>I.03</w:t>
            </w:r>
          </w:p>
        </w:tc>
        <w:tc>
          <w:tcPr>
            <w:tcW w:type="dxa" w:w="7937"/>
            <w:shd w:val="clear" w:color="auto" w:fill="EEF3F8"/>
          </w:tcPr>
          <w:p>
            <w:r/>
            <w:r>
              <w:rPr>
                <w:sz w:val="20"/>
              </w:rPr>
              <w:t>Regole di accesso per riga (RLS)</w:t>
            </w:r>
          </w:p>
        </w:tc>
        <w:tc>
          <w:tcPr>
            <w:tcW w:type="dxa" w:w="5669"/>
            <w:shd w:val="clear" w:color="auto" w:fill="EEF3F8"/>
          </w:tcPr>
          <w:p>
            <w:r/>
            <w:r>
              <w:rPr>
                <w:sz w:val="20"/>
              </w:rPr>
              <w:t>Consegnato – esecuzione a cura del sistemista</w:t>
            </w:r>
          </w:p>
        </w:tc>
      </w:tr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I.07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Tolleranza sugli orologi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Consegnato – esecuzione a cura del sistemista</w:t>
            </w:r>
          </w:p>
        </w:tc>
      </w:tr>
    </w:tbl>
    <w:sectPr w:rsidR="00FC693F" w:rsidRPr="0006063C" w:rsidSect="00034616">
      <w:footerReference w:type="default" r:id="rId9"/>
      <w:pgSz w:w="16838" w:h="11906" w:orient="landscape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F6B"/>
        <w:sz w:val="16"/>
      </w:rPr>
      <w:t>Cruscotto HR · SAL agosto – settembre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