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3654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-log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65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4080"/>
          <w:sz w:val="56"/>
        </w:rPr>
        <w:t>Cruscotto HR</w:t>
      </w:r>
    </w:p>
    <w:p>
      <w:pPr>
        <w:jc w:val="center"/>
      </w:pPr>
      <w:r>
        <w:rPr>
          <w:b w:val="0"/>
          <w:sz w:val="36"/>
        </w:rPr>
        <w:t>Stato Avanzamento Lavori (SAL)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blHeader w:val="true"/>
        </w:trPr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Voce</w:t>
            </w:r>
          </w:p>
        </w:tc>
        <w:tc>
          <w:tcPr>
            <w:tcW w:type="dxa" w:w="1133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Dettaglio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Prodotto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Cruscotto HR — Sistema di Monitoraggio HR della Pubblica Amministrazione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r/>
            <w:r>
              <w:rPr>
                <w:b/>
                <w:sz w:val="20"/>
              </w:rPr>
              <w:t>Oggetto</w:t>
            </w:r>
          </w:p>
        </w:tc>
        <w:tc>
          <w:tcPr>
            <w:tcW w:type="dxa" w:w="11339"/>
            <w:shd w:val="clear" w:color="auto" w:fill="EEF3F8"/>
          </w:tcPr>
          <w:p>
            <w:r/>
            <w:r>
              <w:rPr>
                <w:sz w:val="20"/>
              </w:rPr>
              <w:t>Elenco dettagliato delle attività svolte nel periodo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0"/>
              </w:rPr>
              <w:t>Attività censite</w:t>
            </w:r>
          </w:p>
        </w:tc>
        <w:tc>
          <w:tcPr>
            <w:tcW w:type="dxa" w:w="11339"/>
          </w:tcPr>
          <w:p>
            <w:r/>
            <w:r>
              <w:rPr>
                <w:sz w:val="20"/>
              </w:rPr>
              <w:t>132 (di cui 128 completate)</w:t>
            </w:r>
          </w:p>
        </w:tc>
      </w:tr>
      <w:tr>
        <w:tc>
          <w:tcPr>
            <w:tcW w:type="dxa" w:w="2835"/>
            <w:shd w:val="clear" w:color="auto" w:fill="EEF3F8"/>
          </w:tcPr>
          <w:p>
            <w:r/>
            <w:r>
              <w:rPr>
                <w:b/>
                <w:sz w:val="20"/>
              </w:rPr>
              <w:t>Aree di intervento</w:t>
            </w:r>
          </w:p>
        </w:tc>
        <w:tc>
          <w:tcPr>
            <w:tcW w:type="dxa" w:w="11339"/>
            <w:shd w:val="clear" w:color="auto" w:fill="EEF3F8"/>
          </w:tcPr>
          <w:p>
            <w:r/>
            <w:r>
              <w:rPr>
                <w:sz w:val="20"/>
              </w:rPr>
              <w:t>11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4080"/>
        </w:rPr>
        <w:t>1. Riepilogo per area</w:t>
      </w:r>
    </w:p>
    <w:p>
      <w:r>
        <w:t>Le attività sono raggruppate per area e numerate (es. D.05 = quinta attività dell'area D). Per ogni attività sono indicati descrizione, risultato prodotto e stato.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  <w:gridCol w:w="4933"/>
      </w:tblGrid>
      <w:tr>
        <w:trPr>
          <w:tblHeader w:val="true"/>
        </w:trPr>
        <w:tc>
          <w:tcPr>
            <w:tcW w:type="dxa" w:w="113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Area</w:t>
            </w:r>
          </w:p>
        </w:tc>
        <w:tc>
          <w:tcPr>
            <w:tcW w:type="dxa" w:w="1105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26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 attività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A</w:t>
            </w:r>
          </w:p>
        </w:tc>
        <w:tc>
          <w:tcPr>
            <w:tcW w:type="dxa" w:w="11055"/>
          </w:tcPr>
          <w:p>
            <w:r/>
            <w:r>
              <w:rPr>
                <w:sz w:val="20"/>
              </w:rPr>
              <w:t>Acquisizione e messa in funzione del prototipo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b/>
                <w:sz w:val="20"/>
              </w:rPr>
              <w:t>B</w:t>
            </w:r>
          </w:p>
        </w:tc>
        <w:tc>
          <w:tcPr>
            <w:tcW w:type="dxa" w:w="11055"/>
            <w:shd w:val="clear" w:color="auto" w:fill="EEF3F8"/>
          </w:tcPr>
          <w:p>
            <w:r/>
            <w:r>
              <w:rPr>
                <w:sz w:val="20"/>
              </w:rPr>
              <w:t>Ristrutturazione dell'architettura (livelli Component – Hook – Service)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C</w:t>
            </w:r>
          </w:p>
        </w:tc>
        <w:tc>
          <w:tcPr>
            <w:tcW w:type="dxa" w:w="11055"/>
          </w:tcPr>
          <w:p>
            <w:r/>
            <w:r>
              <w:rPr>
                <w:sz w:val="20"/>
              </w:rPr>
              <w:t>Qualità, robustezza e prestazioni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11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b/>
                <w:sz w:val="20"/>
              </w:rPr>
              <w:t>D</w:t>
            </w:r>
          </w:p>
        </w:tc>
        <w:tc>
          <w:tcPr>
            <w:tcW w:type="dxa" w:w="11055"/>
            <w:shd w:val="clear" w:color="auto" w:fill="EEF3F8"/>
          </w:tcPr>
          <w:p>
            <w:r/>
            <w:r>
              <w:rPr>
                <w:sz w:val="20"/>
              </w:rPr>
              <w:t>Autenticazione e profilazione (Keycloak)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20"/>
              </w:rPr>
              <w:t>19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E</w:t>
            </w:r>
          </w:p>
        </w:tc>
        <w:tc>
          <w:tcPr>
            <w:tcW w:type="dxa" w:w="11055"/>
          </w:tcPr>
          <w:p>
            <w:r/>
            <w:r>
              <w:rPr>
                <w:sz w:val="20"/>
              </w:rPr>
              <w:t>Allineamento alla base dati reale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23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b/>
                <w:sz w:val="20"/>
              </w:rPr>
              <w:t>F</w:t>
            </w:r>
          </w:p>
        </w:tc>
        <w:tc>
          <w:tcPr>
            <w:tcW w:type="dxa" w:w="11055"/>
            <w:shd w:val="clear" w:color="auto" w:fill="EEF3F8"/>
          </w:tcPr>
          <w:p>
            <w:r/>
            <w:r>
              <w:rPr>
                <w:sz w:val="20"/>
              </w:rPr>
              <w:t>Conto Annuale su dati reali (12 schede)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20"/>
              </w:rPr>
              <w:t>23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G</w:t>
            </w:r>
          </w:p>
        </w:tc>
        <w:tc>
          <w:tcPr>
            <w:tcW w:type="dxa" w:w="11055"/>
          </w:tcPr>
          <w:p>
            <w:r/>
            <w:r>
              <w:rPr>
                <w:sz w:val="20"/>
              </w:rPr>
              <w:t>Navigazione e dati dimostrativi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b/>
                <w:sz w:val="20"/>
              </w:rPr>
              <w:t>H</w:t>
            </w:r>
          </w:p>
        </w:tc>
        <w:tc>
          <w:tcPr>
            <w:tcW w:type="dxa" w:w="11055"/>
            <w:shd w:val="clear" w:color="auto" w:fill="EEF3F8"/>
          </w:tcPr>
          <w:p>
            <w:r/>
            <w:r>
              <w:rPr>
                <w:sz w:val="20"/>
              </w:rPr>
              <w:t>Pannello di amministrazione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20"/>
              </w:rPr>
              <w:t>8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I</w:t>
            </w:r>
          </w:p>
        </w:tc>
        <w:tc>
          <w:tcPr>
            <w:tcW w:type="dxa" w:w="11055"/>
          </w:tcPr>
          <w:p>
            <w:r/>
            <w:r>
              <w:rPr>
                <w:sz w:val="20"/>
              </w:rPr>
              <w:t>Sicurezza e strato di protezione dei dati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b/>
                <w:sz w:val="20"/>
              </w:rPr>
              <w:t>L</w:t>
            </w:r>
          </w:p>
        </w:tc>
        <w:tc>
          <w:tcPr>
            <w:tcW w:type="dxa" w:w="11055"/>
            <w:shd w:val="clear" w:color="auto" w:fill="EEF3F8"/>
          </w:tcPr>
          <w:p>
            <w:r/>
            <w:r>
              <w:rPr>
                <w:sz w:val="20"/>
              </w:rPr>
              <w:t>Rilascio, versioni e identità grafica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20"/>
              </w:rPr>
              <w:t>7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/>
                <w:sz w:val="20"/>
              </w:rPr>
              <w:t>M</w:t>
            </w:r>
          </w:p>
        </w:tc>
        <w:tc>
          <w:tcPr>
            <w:tcW w:type="dxa" w:w="11055"/>
          </w:tcPr>
          <w:p>
            <w:r/>
            <w:r>
              <w:rPr>
                <w:sz w:val="20"/>
              </w:rPr>
              <w:t>Documentazione per committente e wiki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9</w:t>
            </w:r>
          </w:p>
        </w:tc>
      </w:tr>
      <w:tr>
        <w:tc>
          <w:tcPr>
            <w:tcW w:type="dxa" w:w="1134"/>
            <w:shd w:val="clear" w:color="auto" w:fill="EEF3F8"/>
          </w:tcPr>
          <w:p>
            <w:r/>
            <w:r>
              <w:rPr>
                <w:b/>
                <w:sz w:val="20"/>
              </w:rPr>
            </w:r>
          </w:p>
        </w:tc>
        <w:tc>
          <w:tcPr>
            <w:tcW w:type="dxa" w:w="11055"/>
            <w:shd w:val="clear" w:color="auto" w:fill="EEF3F8"/>
          </w:tcPr>
          <w:p>
            <w:r/>
            <w:r>
              <w:rPr>
                <w:sz w:val="20"/>
              </w:rPr>
              <w:t>Totale</w:t>
            </w:r>
          </w:p>
        </w:tc>
        <w:tc>
          <w:tcPr>
            <w:tcW w:type="dxa" w:w="2268"/>
            <w:shd w:val="clear" w:color="auto" w:fill="EEF3F8"/>
          </w:tcPr>
          <w:p>
            <w:r/>
            <w:r>
              <w:rPr>
                <w:sz w:val="20"/>
              </w:rPr>
              <w:t>132</w:t>
            </w:r>
          </w:p>
        </w:tc>
      </w:tr>
    </w:tbl>
    <w:p/>
    <w:p>
      <w:r>
        <w:rPr>
          <w:b/>
        </w:rPr>
        <w:t xml:space="preserve">Legenda stato. </w:t>
      </w:r>
      <w:r>
        <w:t>«Completato»: attività conclusa e verificata. «Consegnato – esecuzione a cura del sistemista»: lavoro pronto e consegnato, da installare sull'infrastruttura. «Completato – in attesa di dati/fonti»: predisposto, in attesa delle fonti dati.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4080"/>
        </w:rPr>
        <w:t>2. Dettaglio delle attività</w:t>
      </w:r>
    </w:p>
    <w:p>
      <w:pPr>
        <w:pStyle w:val="Heading2"/>
      </w:pPr>
      <w:r>
        <w:rPr>
          <w:rFonts w:ascii="Calibri" w:hAnsi="Calibri"/>
          <w:color w:val="004080"/>
        </w:rPr>
        <w:t>A. Acquisizione e messa in funzione del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A.01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Acquisizione del codice sorgente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Importazione del progetto del prototipo, installazione delle dipendenze e avvio dell'applicazione nell'ambiente di sviluppo.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Applicazione funzionante in ambiente di sviluppo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A.02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Analisi iniziale del codice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Censimento di struttura, dipendenze, accessi alla base dati, dati dimostrativi e punti critici del prototipo.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Elenco delle criticità di partenza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A.03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Configurazione unica per ambienti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Creato un unico punto di configurazione: indirizzi e chiavi della base dati letti dall'ambiente; rimossi i valori scritti nel codice (es. indirizzi locali non raggiungibili online).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Modulo di configurazione centralizzato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A.04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Porte e ricaricamento adattivi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Configurazione del server di sviluppo diversa per ambiente locale e ambiente gestito, con ricaricamento automatico condizionale.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Configurazione di avvio aggiornata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A.05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Pulizia del repository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Rimossi file non pertinenti al prodotto e aggiornate le regole di esclusione.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Repository contenente solo file di prodotto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A.06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Identità del pacchetto e istruzioni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Nome del pacchetto aggiornato in «cruscotto-hr»; README con istruzioni di avvio locale, configurazione e architettura.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README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B. Ristrutturazione dell'architettura (livelli Component – Hook – 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B.01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Introduzione del livello di servizio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Creati 18 servizi, uno per dominio (età, genere, cessazioni, assunzioni, formazione, modalità di lavoro, progressioni, enti, indici, D1, InPA, KPI, Lavoro Pubblico, Minerva, Syllabus, SIPrO, Pannello di Governo, percorsi).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Cartella dei servizi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B.02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Hook di caricamento semplificati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12–15 hook dati resi «sottili»: gestiscono solo caricamento, cache e stato, delegando l'accesso ai dati ai servizi.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Hook dati riorganizzati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B.03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Separazione grafica / dati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46 componenti grafici (InPA 13, KPI 3, Lavoro Pubblico 2, Minerva 6, Syllabus e altri) non interrogano più direttamente la base dati.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Componenti di sola presentazione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B.04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Regola automatica sull'architettura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Regola di controllo del codice che blocca qualsiasi importazione del client della base dati fuori dal livello di servizio.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Regola di qualità attiva (0 violazioni)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B.05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Componenti riutilizzabili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Mattoni comuni: indicatore (KpiStat), griglia (KpiGrid), card dei grafici (ChartCard), stati di caricamento/errore/vuoto (SectionStates), tema dei grafici, formattazione numeri, costanti centralizzate.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Libreria di componenti condivisi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B.06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Applicazione dei componenti alle schede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Rollout dei componenti condivisi su Lavoro agile, Cessazioni, Tasso di turnover e sostituzione, Formati, Genere: interfaccia uniforme.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Schede uniformate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B.07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Tipizzazione dei servizi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Servizi del Conto Annuale (età, genere, cessati, assunti, formazione, modalità di lavoro, progressioni) tipizzati sui tipi generati dalla base dati, eliminando i tipi generici.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Servizi tipizzati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B.08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Chiavi di cache centralizzate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Le chiavi di memoria temporanea dei dati sono centralizzate (11 hook, nessuna chiave scritta a mano).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Registro centralizzato delle chiavi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B.09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Suddivisione dei file troppo grandi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Rapporto narrativo ridotto da 1.189 a 340 righe; Percorso guidato da 742 a 228 righe, con comportamento invariato.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Moduli separati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B.10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Filtri da configurazione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Le opzioni dei filtri passano da dati dimostrativi a configurazione statica dedicata.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Configurazione filtri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B.11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Mappa dei dati dimostrativi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Punto d'ingresso unico per i dati dimostrativi residui, separati dal codice di produzione.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Cartella fixtures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C. Qualità, robustezza e prestazioni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C.01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Gestione centralizzata degli errori di caricamento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Ogni caricamento dati fallito genera un avviso all'utente, invece di fallire in silenzio.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Avvisi di errore globali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C.02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Correzione chiavi duplicate KPI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Eliminate le chiavi duplicate nella sezione KPI Abilitanti aggregando i KPI per codice.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Correzione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C.03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Correzione grafico radar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Evitati elementi grafici vuoti nel radar KPI quando non ci sono dati.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Correzione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C.04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Avvisi di navigazione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Attivate le impostazioni future del router per eliminare gli avvisi in console.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Console senza avvisi applicativi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C.05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Caricamento a richiesta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Pagine caricate solo quando servono e librerie separate: il pacchetto unico da ~1,9 MB è stato suddiviso.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Avvio più rapido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C.06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Impostazioni di cache dei dati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Valori predefiniti di aggiornamento e riutilizzo dei dati per ridurre richieste inutili.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Configurazione cache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C.07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Test automatici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Test unitari sulle trasformazioni dei dati di età, genere e cessazioni; ambiente di test ripristinato.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Test verdi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C.08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Protezione dallo «schermo bianco»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Componente di contenimento degli errori, globale e per pagina: un errore in un grafico non blocca più l'applicazione.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Error Boundary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C.09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Errori di analisi del codice azzerati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Corretti i 7 errori segnalati dai controlli automatici.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0 errori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C.10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Formattazione uniforme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Regole di formattazione e di editor comuni applicate automaticamente a 175 file.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Stile del codice uniforme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C.11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Rimozione codice inutilizzato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Eliminati componenti orfani, duplicati e dati dimostrativi non più usati.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Codice ridotto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D. Autenticazione e profilazione (Keycloak)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Integrazione single sign-on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Integrazione con Keycloak tramite flusso Authorization Code con PKCE, inizializzazione unica e rinnovo automatico del token; modalità ibrida per non interrompere l'accesso dimostrativo.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Modulo di autenticazione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Verifica assenza di segreti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Verificato che nessun segreto del client sia incluso nel pacchetto distribuito; segnalata la necessità di un client pubblico e di rigenerare il segreto esposto.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Verifica di sicurezza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Correzione blocco del controllo di sessione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Rimosso il controllo silenzioso in iframe, bloccato dalle politiche del server di identità: si usa solo il flusso con reindirizzamento.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Login funzionante end-to-end in locale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Riconoscimento dell'amministratore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Ruolo «amministratore-gru» (e varianti) mappato sul profilo DFP con visibilità completa.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Mappatura ruoli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Allineamento anagrafica enti di login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Individuate due anagrafiche enti con identificativi sovrapposti; login e denominazione allineati all'anagrafica unica.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Login coerente con i dati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Accesso solo SSO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Con Keycloak configurato la pagina di accesso mostra solo «Accedi con SSO»; ruolo ed ente arrivano dal token.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Pagina di accesso SSO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Ente dal codice ISTAT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Lettura dell'ente dal claim «istatcode» con protezioni sui valori non validi; ruoli Formez e amministratore unico mappati su DFP.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Profilo da token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Istruzioni utenti di test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Indicazioni per creare in Keycloak l'utente di test ente (Comune di Roma) e l'utente amministratore.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Istruzioni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Contratto dei claim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Documento per chi gestisce Keycloak: claim richiesti (ruoli, codice fiscale ente), formato e mapper da configurare.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CONTRATTO_CLAIM_KEYCLOAK (MD + 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D.10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Configurazione ambiente locale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Ambiente locale collegato alla base dati reale e a Keycloak, con indicazioni sul claim ente.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Configurazione locale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D.11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Perimetro per codice fiscale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Lettura del claim «enti_cf» (elenco di codici fiscali); il codice fiscale viene passato automaticamente a tutte le 12 schede del Conto Annuale; denominazione dell'ente mostrata nell'intestazione.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Perimetro per ente attivo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D.12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Verifica su enti reali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Verifica dei dati filtrati per Comune di Roma (8.392 dipendenti 2024) e Sapienza Università di Roma (6.783).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Esito verifica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D.13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Protezione da fughe di dati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Un responsabile HR senza codice fiscale nel token non vede dati aggregati nazionali.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Regola anti-fuga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D.14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Ruoli consentiti espliciti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Elenco chiuso dei ruoli DFP/amministratore e responsabile HR; ruoli non riconosciuti bloccati; tentativi negati registrati nel log accessi.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Controllo dei ruoli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D.15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Schermata «Accesso non autorizzato»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Schermata dedicata con pulsante Esci per utenti autenticati ma non abilitati.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Nuova schermata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D.16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Tabella dei profili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Profili allineati alle combinazioni di ruoli reali.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Tabella profili (wiki)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D.17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Separazione DFP / amministratore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Il solo ruolo DFP (vista su tutti gli enti) non dà accesso al pannello di amministrazione; regola applicata sia nell'applicazione sia nello strato di protezione.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Regola di separazione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D.18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Avvio dopo l'accesso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Caricamento dati amministrativi e tracciamento della navigazione avviati solo dopo un accesso valido (eliminati errori 401/422 in fase di rientro).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Correzione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D.19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Messaggio utenti non autorizzati in pagina di accesso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La pagina di accesso gestisce lo stato «non autorizzato» mostrando il messaggio invece del pulsante SSO.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Correzione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E. Allineamento alla base dati reale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Mappatura grafici ↔ tabelle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Per ogni sezione e grafico: tabelle usate, chiave ente (id_ente, istituzione, codice fiscale, ente_id) e mappatura puntuale dei 12 grafici SIPrO.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MAPPATURA_TABELLE_GRAFICI (MD + 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Colonne usate per tabella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Estrazione automatica delle colonne lette e di quelle usate per filtro/ordinamento per 54 tabelle.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Appendice colonne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Scheletro delle viste materializzate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Script con una vista per ciascuna delle 54 tabelle e le colonne attese, da completare sulla base dati reale.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MATERIALIZED_VIEWS_SKELETON.sql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Script di esportazione della base dati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Script e istruzioni per esportare schema e dati dall'ambiente cloud.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dump_supabase_public.sh, README_DUMP_RESTORE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Studio della base dati reale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Analisi del modello a dizionario (64 elementi, 27 indicatori con relative query); individuato il codice fiscale come chiave ente.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STUDIO_DB_REALE_E_PIANO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Vista anagrafica enti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Vista di compatibilità degli enti costruita e verificata: 23.594 enti.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dw_ente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Vista indicatori per ente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Trasformazione dal modello a dizionario a tabella per ente: 264 enti monitorati, 78 metriche.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Vista v_kpi_ente_wide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Viste rilevazione KPI e verifica indicatori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Viste di compatibilità validate (115 enti della campagna allineata al dizionario).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Viste dw_kpi_rilevazione, dw_verifica_indicatori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Vista occupazione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Dai Conti Annuali reali: 1.211.654 righe.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Vista dw_occupazione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E.10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Vista assunzioni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221.737 righe.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dw_assunti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E.11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Vista cessazioni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430.711 righe.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Vista dw_cessati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E.12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Vista età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2.836.412 righe.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dw_eta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E.13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Vista formazione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491.209 righe.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Vista dw_formazione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E.14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Vista modalità di lavoro flessibile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95.896 righe.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dw_modalita_lavoro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E.15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Collegamento enti tramite codice fiscale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Chiave ente dei Conti Annuali collegata all'anagrafica tramite codice fiscale: 12.274 corrispondenze verificate.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Regola di collegamento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E.16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Decodifica causali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18 causali; individuati e gestiti i codici con prefisso (A23, C01) usati nei dati.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dw_causali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E.17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Decodifica comparti e contratti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49 combinazioni comparto/contratto con descrizioni.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Vista dw_comparto_contratto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E.18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Decodifica fasce d'età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12 fasce con etichette e ordinamento; corrispondenza verificata 12/12.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dw_fascia_eta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E.19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Decodifica qualifiche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3.110 qualifiche per esteso; corrispondenza verificata al 100%.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Vista dw_qualifiche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E.20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Passaggi di qualifica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199.608 righe, con traduzione del tipo di passaggio (verticale/orizzontale).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Vista dw_passaggi_qualifica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E.21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Viste predisposte per fonti mancanti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13 viste conformi ma vuote (InPA, Syllabus, competenze/SIPrO, PTFP), verificate su base dati pulita: 13/13 senza errori.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Viste stub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 – in attesa di dati/fonti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E.22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Documento viste prodotte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Presentazione per committente ed esperti con punti aperti da validare (campagna KPI, metodologia indici, unità formazione, CF multipli).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VISTE_PRODOTTE (MD + PDF)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E.23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Documento viste → sorgenti → query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Indice delle 15 viste e query SQL complete di ciascuna (11 pagine).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VISTE_SORGENTI_QUERY (MD + 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F. Conto Annuale su dati reali (12 schede)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Primo collegamento ai dati reali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Analisi per età, Benchmark, Cessazioni, Genere, Progressioni, Lavoro agile/flessibile, Turnover, Sostituzione e Formati collegati alle tabelle reali; dati demo residui contrassegnati.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Prime schede su dati reali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Scheda Analisi per età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Collegata alle funzioni di calcolo della base dati e verificata a schermo; definito lo schema Service → Hook → Componente replicato sulle altre schede.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Scheda + RIEPILOGO_TECNICO_SCHEDA_ETA (MD + PDF)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Filtri a cascata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Opzioni dei filtri lette dai dati con azzeramento a catena dei filtri dipendenti.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Barra filtri dinamica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Selettore ente per il DFP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Ricerca di un ente (es. Roma) con aggiornamento della scheda sui dati dell'ente; funzione riservata al DFP.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Selettore ente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Scheda Anzianità di servizio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Tre funzioni di calcolo; 4 indicatori, distribuzione con evidenza del genere selezionato, evoluzione impilata.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Scheda Assunti per causale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Tre funzioni di calcolo; sostituito il componente dimostrativo; rimossa una voce di menu.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Scheda Cessazioni dal servizio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Tre funzioni di calcolo; sostituito il componente dimostrativo.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Schede Tasso di turnover e Tasso di sostituzione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Collegate alle funzioni di calcolo.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2 schede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Documentazione tecnica delle schede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Architettura delle chiamate, sistema dei filtri, schema Service/Hook/Componente e dettaglio delle schede (7 pagine).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DOCUMENTAZIONE_TECNICA_SCHEDE_CONTO_ANNUALE (MD + 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F.10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Correzione Assunti per causale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La funzione di calcolo delle causali era stata rimossa dal backend: dati ora ottenuti dalla funzione delle causali con movimento «A»; controllate tutte le altre funzioni.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Correzione + segnalazione al backend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F.11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Nota di metodo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Documento sul metodo di costruzione delle schede, dei filtri e sul flusso dal clic al dato (5 pagine).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NOTA_DI_METODO_SCHEDE (PDF)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F.12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Mappature ufficiali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Archiviate le 6 mappature (età, anzianità, assunti, cessazioni, turnover, sostituzione) con indice e divergenze note.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Cartella mappature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F.13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Rifiniture da mappature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Filtro Genere bloccato dove non applicabile; rimossi i riferimenti fissi «2023»; rimosso grafico «Ore di formazione per tipologia»; etichette e note aggiornate.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Rifiniture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F.14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Verifica puntuale delle 6 nuove mappature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Confronto scheda per scheda tra mappature e implementazione, con elenco di quanto mancante.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Matrice di verifica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F.15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Scheda Progressioni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Indicatori ed evoluzione con intervallo di anni dinamico.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F.16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Scheda Lavoro agile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4 indicatori, andamento, variazioni e ripartizione per genere.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F.17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Scheda Lavoro flessibile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4 indicatori, «Crescita vs primo anno» con anno reale.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F.18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Scheda Formazione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Indicatori, macrocategorie ed evoluzione; misura in giornate come da mappatura.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F.19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Scheda Analisi del personale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4 indicatori, macrocategorie (con nota «selezionare un comparto»), titoli di studio, evoluzione.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F.20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Scheda Analisi per genere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4 indicatori, distribuzione per qualifica, piramide e tabella di dettaglio.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Scheda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F.21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Regola N/D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Valori assenti mostrati come «N/D» in tutte le schede su dati reali.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Regola di visualizzazione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F.22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Pulizia dei componenti dimostrativi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Eliminati 7 componenti, 4 hook e 2 servizi non più utilizzati.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Codice ridotto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F.23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Nuovo ordine dei filtri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Ordine Comparto → Macrocategoria → Categoria; per i responsabili HR restano nascosti Regione e Comparto.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Barra filtri aggiornata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G. Navigazione e dati dimostrativi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G.01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Nascondimento D1 e D3 in Vista Sintetica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Dimensioni senza dati reali nascoste nella Vista Sintetica (Vista Executive invariata).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Configurazione menu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G.02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Tasto «Indietro» del browser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La navigazione tra viste e schede è registrata nella cronologia del browser.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Navigazione con cronologia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G.03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Rettifiche menu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Voci di menu riallineate alle sezioni effettivamente disponibili.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Menu aggiornato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G.04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Modalità «N/D»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Interruttore centrale che sostituisce i valori dimostrativi con «N/D» e grafici a zero, con banner «Dati non disponibili»; configurabile da ambiente.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Interruttore N/D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G.05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Riattivazione dati dimostrativi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Su richiesta, dati dimostrativi di nuovo visibili in InPA, Minerva, Syllabus, Lavoro Pubblico e dimensioni sintetiche; Conto Annuale invariato.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Configurazione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G.06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Banner «Dati a scopo dimostrativo»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Avviso in cima a tutte le sezioni dimostrative (InPA, Minerva, Syllabus, Lavoro Pubblico, D1, D3).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Banner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H. Pannello di amministrazione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Sezione «Schede»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Primo tab del pannello: schede organizzate per macro-sezione; Conto Annuale con le 12 schede attivabili, Syllabus e InPA predisposti; pulsanti «Attiva/Disattiva tutte».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Sezione Schede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H.02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Effetto dell'attivazione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Una scheda disattivata scompare dal menu e, se aperta, mostra «Funzione disattivata».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Comportamento attivo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Statistiche grafiche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Grafico a ciambella attive/disattive e grafico «Schede più consultate».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Grafici di sintesi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H.04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Script tabelle di amministrazione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Elenco completo delle 12 schede, corrispondenza scheda → funzioni di calcolo, script rieseguibile.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admin_tables.sql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Consegnato – esecuzione a cura del sistemista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Collegamento alla base dati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Attivazioni salvate nella base dati e condivise tra tutti gli utenti, con annullamento in caso di errore.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Pannello persistente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H.06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Registri reali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Scrittura reale di accessi, eventi ed errori (senza dettagli tecnici sensibili) e svuotamento dei registri.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Registri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H.07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Verifica end-to-end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Disattivazione/riattivazione di una scheda verificata direttamente sulla base dati.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Esito verifica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H.08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Guida tecnica dell'area di amministrazione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Schema dati, raccolta dei dati, endpoint, sicurezza e checklist per replicare l'area su altri progetti (9 sezioni).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AREA_ADMIN_GUIDA_TECNICA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I. Sicurezza e strato di protezione dei dati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Segnalazione dati personali esposti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Segnalato come priorità massima il blocco dell'accesso anonimo alle tabelle con dati di login.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Segnalazione P0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I.02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Pacchetto dello strato di protezione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Servizio intermedio che scambia il token Keycloak con un token di accesso ai dati: blocco ruoli non consentiti, ruoli da realm e client, schema dedicato, gestione errori.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Pacchetto backend_proxy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Consegnato – esecuzione a cura del sistemista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Regole di accesso per riga (RLS)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Funzioni che leggono i claim dal token, regole per tabelle e viste con codice fiscale, adeguamento delle funzioni di calcolo con una riga, protezione delle tabelle amministrative.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rls_perimetro_e_rpc.sql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Consegnato – esecuzione a cura del sistemista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I.04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Aggancio «a interruttore»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L'applicazione usa lo strato di protezione solo quando configurato; attivazione automatica in produzione, disattivato in sviluppo; rientro immediato possibile.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Aggancio frontend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Documento per il sistemista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Architettura, segreti, servizio di sistema, reverse proxy Apache e passi sulla base dati.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DEPLOY_PROXY_SICUREZZA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I.06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Controllo amministratore nello strato di protezione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Le funzioni amministrative richiedono il ruolo di amministratore, non la sola vista globale.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Regola aggiornata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Tolleranza sugli orologi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Tolleranza configurabile (120 s) per piccoli sfasamenti orari tra server, dopo la diagnosi degli errori in staging.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Correzione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Consegnato – esecuzione a cura del sistemista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I.08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Correzione SQL suggerita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Diagnosi dello stato in staging e istruzione SQL da far eseguire al sistemista, con messaggio pronto.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Indicazioni al sistemista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I.09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Font istituzionale interno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Font Titillium Web incluso nell'applicazione: nessuna richiesta a servizi esterni, compatibile con le politiche di sicurezza dei contenuti.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Font self-hosted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L. Rilascio, versioni e identità grafica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L.01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Favicon istituzionale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Stemma come icona dell'applicazione, anche per dispositivi Apple.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Favicon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L.02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Diagnosi versioni parziali nei browser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Analisi del caricamento di versioni incomplete su alcuni browser, dovuto alla memoria del browser.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Diagnosi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L.03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Ricarica automatica e pulizia cache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Ricarica automatica se una parte dell'applicazione non si carica; pulizia della memoria alla prima apertura di una nuova versione.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Modulo di gestione versioni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L.04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Identificativo di versione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Ogni rilascio ha un identificativo univoco e un file di versione consultato dall'applicazione.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version.json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L.05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Regole di cache per il server web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Regole per i principali server (Apache, Nginx, IIS, servizi statici) e documento di istruzioni.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DEPLOY_CACHE_HEADERS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L.06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Banner «Nuova versione disponibile»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Controllo all'avvio, al ritorno sulla finestra e ogni 5 minuti; invito a ricaricare.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Banner aggiornamento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L.07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Correzione cache dell'icona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Regole di cache riviste e aggiornamento forzato dell'icona; favicon rigenerata.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Correzione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04080"/>
        </w:rPr>
        <w:t>M. Documentazione per committente e wiki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60"/>
        <w:gridCol w:w="2960"/>
        <w:gridCol w:w="2960"/>
        <w:gridCol w:w="2960"/>
        <w:gridCol w:w="2960"/>
      </w:tblGrid>
      <w:tr>
        <w:trPr>
          <w:tblHeader w:val="true"/>
        </w:trPr>
        <w:tc>
          <w:tcPr>
            <w:tcW w:type="dxa" w:w="794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N.</w:t>
            </w:r>
          </w:p>
        </w:tc>
        <w:tc>
          <w:tcPr>
            <w:tcW w:type="dxa" w:w="2835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Attività</w:t>
            </w:r>
          </w:p>
        </w:tc>
        <w:tc>
          <w:tcPr>
            <w:tcW w:type="dxa" w:w="6009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Descrizione</w:t>
            </w:r>
          </w:p>
        </w:tc>
        <w:tc>
          <w:tcPr>
            <w:tcW w:type="dxa" w:w="2948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Risultato / Output</w:t>
            </w:r>
          </w:p>
        </w:tc>
        <w:tc>
          <w:tcPr>
            <w:tcW w:type="dxa" w:w="2211"/>
            <w:shd w:val="clear" w:color="auto" w:fill="004080"/>
          </w:tcPr>
          <w:p>
            <w:r/>
            <w:r>
              <w:rPr>
                <w:b/>
                <w:color w:val="FFFFFF"/>
                <w:sz w:val="20"/>
              </w:rPr>
              <w:t>Stato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M.01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Report di ristrutturazione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Report completo: punto di partenza, numeri, confronto prima/dopo, schermate, architettura, esempi di codice prima/dopo, interventi fase per fase.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REPORT_REFACTORING (MD + 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M.02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Domande tecniche al committente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7 aree di domande (enti/comuni, protezione dati, Keycloak, amministrazione, percorsi, dati, rilascio) con punti bloccanti.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DOMANDE_TECNICHE_CLIENTE (MD + PDF)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M.03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Versione «attività in corso»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Variante del report con linguaggio neutro e mappa dei file dimostrativi; rimossi i riferimenti al nome dello strumento di prototipazione e alla piattaforma.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REPORT_ATTIVITA_IN_CORSO (MD + PDF)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M.04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Verifica dei contenuti consegnabili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Controllo dell'assenza di riferimenti interni nei file e indicazioni per una consegna pulita.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Esito verifica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M.05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Prima wiki tecnica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11 pagine: panoramica, percorso di conversione, architettura a livelli, cartelle, autenticazione, sicurezza, dati, amministrazione, rilascio, convenzioni.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docs/wiki (v1)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M.06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Wiki come manuale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Wiki riscritta per un pubblico non tecnico: manuale utente, ruoli e accessi, panoramica architettura, stato e attività.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docs/wiki (v2)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M.07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Registro formale e sezione tecnica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Linguaggio formale e impersonale; nuova pagina di architettura tecnica per principi generali.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Pagina Architettura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r/>
            <w:r>
              <w:rPr>
                <w:b/>
                <w:sz w:val="20"/>
              </w:rPr>
              <w:t>M.08</w:t>
            </w:r>
          </w:p>
        </w:tc>
        <w:tc>
          <w:tcPr>
            <w:tcW w:type="dxa" w:w="2835"/>
            <w:shd w:val="clear" w:color="auto" w:fill="EEF3F8"/>
          </w:tcPr>
          <w:p>
            <w:r/>
            <w:r>
              <w:rPr>
                <w:sz w:val="20"/>
              </w:rPr>
              <w:t>Menu della wiki e collegamenti</w:t>
            </w:r>
          </w:p>
        </w:tc>
        <w:tc>
          <w:tcPr>
            <w:tcW w:type="dxa" w:w="6009"/>
            <w:shd w:val="clear" w:color="auto" w:fill="EEF3F8"/>
          </w:tcPr>
          <w:p>
            <w:r/>
            <w:r>
              <w:rPr>
                <w:sz w:val="20"/>
              </w:rPr>
              <w:t>Menu laterale e collegamenti nel formato della wiki.</w:t>
            </w:r>
          </w:p>
        </w:tc>
        <w:tc>
          <w:tcPr>
            <w:tcW w:type="dxa" w:w="2948"/>
            <w:shd w:val="clear" w:color="auto" w:fill="EEF3F8"/>
          </w:tcPr>
          <w:p>
            <w:r/>
            <w:r>
              <w:rPr>
                <w:sz w:val="20"/>
              </w:rPr>
              <w:t>_sidebar</w:t>
            </w:r>
          </w:p>
        </w:tc>
        <w:tc>
          <w:tcPr>
            <w:tcW w:type="dxa" w:w="2211"/>
            <w:shd w:val="clear" w:color="auto" w:fill="EEF3F8"/>
          </w:tcPr>
          <w:p>
            <w:r/>
            <w:r>
              <w:rPr>
                <w:sz w:val="20"/>
              </w:rPr>
              <w:t>Completato</w:t>
            </w:r>
          </w:p>
        </w:tc>
      </w:tr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M.09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Note di rilascio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Pagina «Stato e attività» aggiornata con le note di rilascio.</w:t>
            </w:r>
          </w:p>
        </w:tc>
        <w:tc>
          <w:tcPr>
            <w:tcW w:type="dxa" w:w="2948"/>
          </w:tcPr>
          <w:p>
            <w:r/>
            <w:r>
              <w:rPr>
                <w:sz w:val="20"/>
              </w:rPr>
              <w:t>Stato e Roadmap</w:t>
            </w:r>
          </w:p>
        </w:tc>
        <w:tc>
          <w:tcPr>
            <w:tcW w:type="dxa" w:w="2211"/>
          </w:tcPr>
          <w:p>
            <w:r/>
            <w:r>
              <w:rPr>
                <w:sz w:val="20"/>
              </w:rPr>
              <w:t>Completato</w:t>
            </w:r>
          </w:p>
        </w:tc>
      </w:tr>
    </w:tbl>
    <w:p/>
    <w:sectPr w:rsidR="00FC693F" w:rsidRPr="0006063C" w:rsidSect="00034616">
      <w:footerReference w:type="default" r:id="rId9"/>
      <w:pgSz w:w="16838" w:h="11906" w:orient="landscape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B"/>
        <w:sz w:val="16"/>
      </w:rPr>
      <w:t>Cruscotto HR · Stato Avanzamento Lavori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