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Guida all'installazione e all'avvio</w:t>
      </w:r>
    </w:p>
    <w:p>
      <w:r>
        <w:rPr>
          <w:b/>
        </w:rPr>
        <w:t>Cruscotto HR · Versione 1.0 · Ottobre 2026</w:t>
      </w:r>
    </w:p>
    <w:p>
      <w:pPr>
        <w:pStyle w:val="Heading2"/>
      </w:pPr>
      <w:r>
        <w:t>Attività svolte (voce del SAL)</w:t>
      </w:r>
    </w:p>
    <w:p>
      <w:pPr>
        <w:pStyle w:val="ListBullet"/>
      </w:pPr>
      <w:r>
        <w:t>Configurazione unica per tutti gli ambienti (sviluppo, staging, produzione)</w:t>
      </w:r>
    </w:p>
    <w:p>
      <w:pPr>
        <w:pStyle w:val="ListBullet"/>
      </w:pPr>
      <w:r>
        <w:t>Pulizia del repository (codice, componenti e dati dimostrativi non più usati)</w:t>
      </w:r>
    </w:p>
    <w:p>
      <w:pPr>
        <w:pStyle w:val="ListBullet"/>
      </w:pPr>
      <w:r>
        <w:t>Documentazione di avvio (requisiti, impostazioni, comandi, pubblicazione)</w:t>
      </w:r>
    </w:p>
    <w:p>
      <w:pPr>
        <w:pStyle w:val="Heading2"/>
      </w:pPr>
      <w:r>
        <w:t>1.1 Descrizione dell'intervento</w:t>
      </w:r>
    </w:p>
    <w:p>
      <w:pPr>
        <w:pStyle w:val="ListBullet"/>
      </w:pPr>
      <w:r>
        <w:rPr>
          <w:b/>
        </w:rPr>
        <w:t>Configurazione unica per tutti gli ambienti</w:t>
      </w:r>
      <w:r>
        <w:t xml:space="preserve"> (sviluppo, staging, produzione): lo stesso pacchetto applicativo si adatta all'ambiente tramite poche impostazioni esterne, senza modificare il codice.</w:t>
      </w:r>
    </w:p>
    <w:p>
      <w:pPr>
        <w:pStyle w:val="ListBullet"/>
      </w:pPr>
      <w:r>
        <w:rPr>
          <w:b/>
        </w:rPr>
        <w:t>Pulizia del repository</w:t>
      </w:r>
      <w:r>
        <w:t>: rimossi file, componenti e dati dimostrativi non più usati; struttura delle cartelle ordinata per area funzionale; nessuna credenziale nel codice.</w:t>
      </w:r>
    </w:p>
    <w:p>
      <w:pPr>
        <w:pStyle w:val="ListBullet"/>
      </w:pPr>
      <w:r>
        <w:rPr>
          <w:b/>
        </w:rPr>
        <w:t>Documentazione di avvio</w:t>
      </w:r>
      <w:r>
        <w:t>: requisiti, impostazioni e comandi riportati di seguito.</w:t>
      </w:r>
    </w:p>
    <w:p>
      <w:pPr>
        <w:pStyle w:val="Heading2"/>
      </w:pPr>
      <w:r>
        <w:t>1.2 Requisiti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Versione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 o successiva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Yarn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1.22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Browser supportati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Chrome, Edge, Firefox e Safari nelle versioni correnti</w:t>
            </w:r>
          </w:p>
        </w:tc>
      </w:tr>
    </w:tbl>
    <w:p/>
    <w:p>
      <w:pPr>
        <w:pStyle w:val="Heading2"/>
      </w:pPr>
      <w:r>
        <w:t>1.3 Impostazioni dell'ambiente</w:t>
      </w:r>
    </w:p>
    <w:p>
      <w:r>
        <w:t>Le impostazioni si indicano come variabili d'ambiente al momento della compilazione.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Impostazione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 cosa serve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VITE_SUPABASE_URL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Indirizzo della base dati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VITE_SUPABASE_PUBLISHABLE_KEY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Chiave pubblica della base dati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VITE_KEYCLOAK_URL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VITE_KEYCLOAK_REALM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VITE_KEYCLOAK_CLIENT_ID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Collegamento al servizio di accesso aziendale (Keycloak)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VITE_EXCHANGE_URL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Indirizzo dello strato di protezione (in produzione è predefinito)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VITE_A11Y_STATEMENT_URL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VITE_A11Y_FEEDBACK_EMAIL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Link alla Dichiarazione di accessibilità e indirizzo per le segnalazioni</w:t>
            </w:r>
          </w:p>
        </w:tc>
      </w:tr>
    </w:tbl>
    <w:p/>
    <w:p>
      <w:r>
        <w:t>I valori di ciascun ambiente sono conservati dall'amministrazione e dal sistemista.</w:t>
      </w:r>
    </w:p>
    <w:p>
      <w:pPr>
        <w:pStyle w:val="Heading2"/>
      </w:pPr>
      <w:r>
        <w:t>1.4 Comandi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install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Installa le dipendenze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dev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Avvia l'applicazione in locale per lo sviluppo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build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Produce il pacchetto da pubblicare (cartella </w:t>
            </w:r>
            <w:r>
              <w:rPr>
                <w:rFonts w:ascii="Consolas" w:hAnsi="Consolas"/>
                <w:color w:val="1F4E79"/>
                <w:sz w:val="17"/>
              </w:rPr>
              <w:t>dist/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test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Esegue i test automatici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security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Esegue le verifiche di sicurezza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yarn a11y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Esegue la verifica automatica di accessibilità</w:t>
            </w:r>
          </w:p>
        </w:tc>
      </w:tr>
    </w:tbl>
    <w:p/>
    <w:p>
      <w:pPr>
        <w:pStyle w:val="Heading2"/>
      </w:pPr>
      <w:r>
        <w:t>1.5 Pubblicazione</w:t>
      </w:r>
    </w:p>
    <w:p>
      <w:pPr>
        <w:pStyle w:val="ListNumber"/>
      </w:pPr>
      <w:r>
        <w:t>Impostare le variabili dell'ambiente di destinazione.</w:t>
      </w:r>
    </w:p>
    <w:p>
      <w:pPr>
        <w:pStyle w:val="ListNumber"/>
      </w:pPr>
      <w:r>
        <w:t xml:space="preserve">Eseguire </w:t>
      </w:r>
      <w:r>
        <w:rPr>
          <w:rFonts w:ascii="Consolas" w:hAnsi="Consolas"/>
          <w:color w:val="1F4E79"/>
        </w:rPr>
        <w:t>yarn build</w:t>
      </w:r>
      <w:r>
        <w:t>.</w:t>
      </w:r>
    </w:p>
    <w:p>
      <w:pPr>
        <w:pStyle w:val="ListNumber"/>
      </w:pPr>
      <w:r>
        <w:t xml:space="preserve">Pubblicare il contenuto della cartella </w:t>
      </w:r>
      <w:r>
        <w:rPr>
          <w:rFonts w:ascii="Consolas" w:hAnsi="Consolas"/>
          <w:color w:val="1F4E79"/>
        </w:rPr>
        <w:t>dist/</w:t>
      </w:r>
      <w:r>
        <w:t xml:space="preserve"> sul server web.</w:t>
      </w:r>
    </w:p>
    <w:p>
      <w:pPr>
        <w:pStyle w:val="ListNumber"/>
      </w:pPr>
      <w:r>
        <w:t>Dopo la pubblicazione, gli utenti già collegati ricevono un avviso e possono ricaricare la nuova versione.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