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 Autenticazione e profilazione — Keycloak</w:t>
      </w:r>
    </w:p>
    <w:p>
      <w:r>
        <w:rPr>
          <w:b/>
        </w:rPr>
        <w:t>Cruscotto HR · Versione 1.0 · Ottobre 2026</w:t>
      </w:r>
    </w:p>
    <w:p>
      <w:pPr>
        <w:pStyle w:val="Heading2"/>
      </w:pPr>
      <w:r>
        <w:t>Attività svolte (voce del SAL)</w:t>
      </w:r>
    </w:p>
    <w:p>
      <w:pPr>
        <w:pStyle w:val="ListBullet"/>
      </w:pPr>
      <w:r>
        <w:t>Integrazione SSO con Keycloak</w:t>
      </w:r>
    </w:p>
    <w:p>
      <w:pPr>
        <w:pStyle w:val="ListBullet"/>
      </w:pPr>
      <w:r>
        <w:t>Profilazione degli utenti e dei ruoli</w:t>
      </w:r>
    </w:p>
    <w:p>
      <w:pPr>
        <w:pStyle w:val="ListBullet"/>
      </w:pPr>
      <w:r>
        <w:t>Perimetro degli enti tramite codice fiscale</w:t>
      </w:r>
    </w:p>
    <w:p>
      <w:pPr>
        <w:pStyle w:val="ListBullet"/>
      </w:pPr>
      <w:r>
        <w:t>Flusso di accesso e gestione degli utenti non autorizzati</w:t>
      </w:r>
    </w:p>
    <w:p>
      <w:pPr>
        <w:pStyle w:val="ListBullet"/>
      </w:pPr>
      <w:r>
        <w:t>Ambiente locale e documentazione per la gestione di Keycloak</w:t>
      </w:r>
    </w:p>
    <w:p>
      <w:pPr>
        <w:pStyle w:val="Heading2"/>
      </w:pPr>
      <w:r>
        <w:t>2.1 Descrizione dell'intervento</w:t>
      </w:r>
    </w:p>
    <w:p>
      <w:pPr>
        <w:pStyle w:val="ListBullet"/>
      </w:pPr>
      <w:r>
        <w:rPr>
          <w:b/>
        </w:rPr>
        <w:t>Accesso unico aziendale (SSO)</w:t>
      </w:r>
      <w:r>
        <w:t xml:space="preserve"> tramite Keycloak: nessuna password dedicata al Cruscotto.</w:t>
      </w:r>
    </w:p>
    <w:p>
      <w:pPr>
        <w:pStyle w:val="ListBullet"/>
      </w:pPr>
      <w:r>
        <w:rPr>
          <w:b/>
        </w:rPr>
        <w:t>Profilazione</w:t>
      </w:r>
      <w:r>
        <w:t xml:space="preserve"> degli utenti in base ai ruoli assegnati in Keycloak.</w:t>
      </w:r>
    </w:p>
    <w:p>
      <w:pPr>
        <w:pStyle w:val="ListBullet"/>
      </w:pPr>
      <w:r>
        <w:rPr>
          <w:b/>
        </w:rPr>
        <w:t>Perimetro per ente</w:t>
      </w:r>
      <w:r>
        <w:t xml:space="preserve">: i responsabili di ente vedono solo i dati degli enti indicati nel proprio profilo, identificati dal </w:t>
      </w:r>
      <w:r>
        <w:rPr>
          <w:b/>
        </w:rPr>
        <w:t>codice fiscale</w:t>
      </w:r>
      <w:r>
        <w:t>.</w:t>
      </w:r>
    </w:p>
    <w:p>
      <w:pPr>
        <w:pStyle w:val="ListBullet"/>
      </w:pPr>
      <w:r>
        <w:rPr>
          <w:b/>
        </w:rPr>
        <w:t>Gestione degli utenti non autorizzati</w:t>
      </w:r>
      <w:r>
        <w:t>: chi non ha un ruolo previsto, o un responsabile di ente senza codice fiscale associato, riceve un messaggio chiaro e non accede ai dati.</w:t>
      </w:r>
    </w:p>
    <w:p>
      <w:pPr>
        <w:pStyle w:val="ListBullet"/>
      </w:pPr>
      <w:r>
        <w:rPr>
          <w:b/>
        </w:rPr>
        <w:t>Sessione</w:t>
      </w:r>
      <w:r>
        <w:t>: avviso qualche minuto prima della scadenza, con possibilità di prolungarla; uscita sicura dal pulsante «Esci».</w:t>
      </w:r>
    </w:p>
    <w:p>
      <w:pPr>
        <w:pStyle w:val="ListBullet"/>
      </w:pPr>
      <w:r>
        <w:rPr>
          <w:b/>
        </w:rPr>
        <w:t>Ambiente locale e documentazione</w:t>
      </w:r>
      <w:r>
        <w:t xml:space="preserve"> per la configurazione di Keycloak (questo documento).</w:t>
      </w:r>
    </w:p>
    <w:p>
      <w:pPr>
        <w:pStyle w:val="Heading2"/>
      </w:pPr>
      <w:r>
        <w:t>2.2 Profili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Profilo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Ruoli Keycloak riconosciuti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Vista dati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Pannello di gestione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Amministratore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amministratore-gru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amministratore-formez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amministratore-unico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amministratore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admin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super_admin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Tutti gli enti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Utente DFP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dfp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Tutti gli enti (sola consultazione)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Responsabile di 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ente_hr</w:t>
            </w:r>
            <w:r>
              <w:rPr>
                <w:sz w:val="17"/>
              </w:rPr>
              <w:t xml:space="preserve"> (o </w:t>
            </w:r>
            <w:r>
              <w:rPr>
                <w:rFonts w:ascii="Consolas" w:hAnsi="Consolas"/>
                <w:color w:val="1F4E79"/>
                <w:sz w:val="17"/>
              </w:rPr>
              <w:t>hr_cruscotto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Solo gli enti del proprio profilo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Altri ruoli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Accesso negato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r>
        <w:t>Sono considerati solo i ruoli del realm e quelli del client del Cruscotto: i ruoli assegnati in altre applicazioni dello stesso realm non hanno effetto.</w:t>
      </w:r>
    </w:p>
    <w:p>
      <w:pPr>
        <w:pStyle w:val="Heading2"/>
      </w:pPr>
      <w:r>
        <w:t>2.3 Configurazione richiesta in Keycloak</w:t>
      </w:r>
    </w:p>
    <w:p>
      <w:r>
        <w:rPr>
          <w:b/>
        </w:rPr>
        <w:t>Client</w:t>
      </w:r>
    </w:p>
    <w:p>
      <w:pPr>
        <w:pStyle w:val="ListBullet"/>
      </w:pPr>
      <w:r>
        <w:t>Tipo: applicazione pubblica (SPA) con PKCE (S256).</w:t>
      </w:r>
    </w:p>
    <w:p>
      <w:pPr>
        <w:pStyle w:val="ListBullet"/>
      </w:pPr>
      <w:r>
        <w:t>Indirizzi di ritorno (redirect URI) e origini web: gli indirizzi del Cruscotto per ciascun ambiente.</w:t>
      </w:r>
    </w:p>
    <w:p>
      <w:r>
        <w:rPr>
          <w:b/>
        </w:rPr>
        <w:t>Informazioni nel token di accesso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Informazione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Obbligatoria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Ruoli (</w:t>
            </w:r>
            <w:r>
              <w:rPr>
                <w:rFonts w:ascii="Consolas" w:hAnsi="Consolas"/>
                <w:color w:val="1F4E79"/>
                <w:sz w:val="17"/>
              </w:rPr>
              <w:t>realm_access.roles</w:t>
            </w:r>
            <w:r>
              <w:rPr>
                <w:sz w:val="17"/>
              </w:rPr>
              <w:t xml:space="preserve"> o </w:t>
            </w:r>
            <w:r>
              <w:rPr>
                <w:rFonts w:ascii="Consolas" w:hAnsi="Consolas"/>
                <w:color w:val="1F4E79"/>
                <w:sz w:val="17"/>
              </w:rPr>
              <w:t>resource_access.&lt;client&gt;.roles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Sì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Determina il profilo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enti_cf</w:t>
            </w:r>
            <w:r>
              <w:rPr>
                <w:sz w:val="17"/>
              </w:rPr>
              <w:t xml:space="preserve"> — codice fiscale dell'ente, o elenco se l'utente gestisce più enti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Sì per i responsabili di ente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Limita i dati agli enti indicati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preferred_username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Consigliate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Nome mostrato nell'applicazione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Facoltativa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Destinatario del token (audience)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Sì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Il token deve essere emesso per il Cruscotto</w:t>
            </w:r>
          </w:p>
        </w:tc>
      </w:tr>
    </w:tbl>
    <w:p/>
    <w:p>
      <w:r>
        <w:rPr>
          <w:rFonts w:ascii="Consolas" w:hAnsi="Consolas"/>
          <w:color w:val="1F4E79"/>
        </w:rPr>
        <w:t>enti_cf</w:t>
      </w:r>
      <w:r>
        <w:t xml:space="preserve"> può essere un elenco oppure un testo con i codici separati da virgola, punto e virgola o spazio.</w:t>
      </w:r>
    </w:p>
    <w:p>
      <w:r>
        <w:rPr>
          <w:b/>
        </w:rPr>
        <w:t>Esempio (estratto del token)</w:t>
      </w:r>
    </w:p>
    <w:p>
      <w:r>
        <w:rPr>
          <w:rFonts w:ascii="Consolas" w:hAnsi="Consolas"/>
          <w:sz w:val="17"/>
        </w:rPr>
        <w:t>{</w:t>
        <w:br/>
        <w:t xml:space="preserve">  "preferred_username": "mario.rossi",</w:t>
        <w:br/>
        <w:t xml:space="preserve">  "name": "Mario Rossi",</w:t>
        <w:br/>
        <w:t xml:space="preserve">  "realm_access": { "roles": ["ente_hr"] },</w:t>
        <w:br/>
        <w:t xml:space="preserve">  "enti_cf": ["80012345678", "80098765432"]</w:t>
        <w:br/>
        <w:t>}</w:t>
      </w:r>
    </w:p>
    <w:p>
      <w:pPr>
        <w:pStyle w:val="Heading2"/>
      </w:pPr>
      <w:r>
        <w:t>2.4 Flusso di accesso</w:t>
      </w:r>
    </w:p>
    <w:p>
      <w:pPr>
        <w:pStyle w:val="ListNumber"/>
      </w:pPr>
      <w:r>
        <w:t>L'utente apre il Cruscotto e sceglie «Accedi con SSO».</w:t>
      </w:r>
    </w:p>
    <w:p>
      <w:pPr>
        <w:pStyle w:val="ListNumber"/>
      </w:pPr>
      <w:r>
        <w:t>Si autentica sulla pagina di Keycloak con le credenziali aziendali.</w:t>
      </w:r>
    </w:p>
    <w:p>
      <w:pPr>
        <w:pStyle w:val="ListNumber"/>
      </w:pPr>
      <w:r>
        <w:t>Il Cruscotto legge profilo ed enti dal token e mostra solo i dati consentiti.</w:t>
      </w:r>
    </w:p>
    <w:p>
      <w:pPr>
        <w:pStyle w:val="ListNumber"/>
      </w:pPr>
      <w:r>
        <w:t>Se più enti sono associati, l'utente li cambia dal selettore in alto.</w:t>
      </w:r>
    </w:p>
    <w:p>
      <w:pPr>
        <w:pStyle w:val="ListNumber"/>
      </w:pPr>
      <w:r>
        <w:t>Alla scadenza della sessione, o con «Esci», l'utente torna alla pagina di accesso.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