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 Schede del Conto Annuale</w:t>
      </w:r>
    </w:p>
    <w:p>
      <w:r>
        <w:rPr>
          <w:b/>
        </w:rPr>
        <w:t>Cruscotto HR · Versione 1.0 · Ottobre 2026</w:t>
      </w:r>
    </w:p>
    <w:p>
      <w:pPr>
        <w:pStyle w:val="Heading2"/>
      </w:pPr>
      <w:r>
        <w:t>Attività svolte (voce del SAL)</w:t>
      </w:r>
    </w:p>
    <w:p>
      <w:pPr>
        <w:pStyle w:val="ListBullet"/>
      </w:pPr>
      <w:r>
        <w:t>Primo collegamento ai dati reali e scheda «Analisi per età»</w:t>
      </w:r>
    </w:p>
    <w:p>
      <w:pPr>
        <w:pStyle w:val="ListBullet"/>
      </w:pPr>
      <w:r>
        <w:t>Filtri a cascata e selettore dell'ente</w:t>
      </w:r>
    </w:p>
    <w:p>
      <w:pPr>
        <w:pStyle w:val="ListBullet"/>
      </w:pPr>
      <w:r>
        <w:t>Schede anzianità di servizio, assunti per causale, cessazioni, turnover e sostituzione</w:t>
      </w:r>
    </w:p>
    <w:p>
      <w:pPr>
        <w:pStyle w:val="ListBullet"/>
      </w:pPr>
      <w:r>
        <w:t>Schede progressioni, lavoro agile, lavoro flessibile, analisi per genere, formazione, analisi del personale</w:t>
      </w:r>
    </w:p>
    <w:p>
      <w:pPr>
        <w:pStyle w:val="ListBullet"/>
      </w:pPr>
      <w:r>
        <w:t>Allineamento alle mappature ufficiali e rifiniture</w:t>
      </w:r>
    </w:p>
    <w:p>
      <w:pPr>
        <w:pStyle w:val="ListBullet"/>
      </w:pPr>
      <w:r>
        <w:t>Documentazione tecnica delle schede e nota di metodo (questo documento)</w:t>
      </w:r>
    </w:p>
    <w:p>
      <w:pPr>
        <w:pStyle w:val="Heading2"/>
      </w:pPr>
      <w:r>
        <w:t>4.1 Descrizione dell'intervento</w:t>
      </w:r>
    </w:p>
    <w:p>
      <w:r>
        <w:t xml:space="preserve">Tutte le schede del Conto Annuale mostrano ora i </w:t>
      </w:r>
      <w:r>
        <w:rPr>
          <w:b/>
        </w:rPr>
        <w:t>dati reali</w:t>
      </w:r>
      <w:r>
        <w:t>. Sono state realizzate in sequenza a partire dalla scheda «Analisi per età», poi estese alle altre con la stessa impostazione, e rifinite sulla base delle mappature ufficiali concordate.</w:t>
      </w:r>
    </w:p>
    <w:p>
      <w:pPr>
        <w:pStyle w:val="Heading2"/>
      </w:pPr>
      <w:r>
        <w:t>4.2 Filtri</w:t>
      </w:r>
    </w:p>
    <w:p>
      <w:r>
        <w:t>Tutte le schede condividono la stessa barra dei filtri, sempre nella stessa posizione.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Filtro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Comportamento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Anno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Di default l'ultimo anno disponibile nei dati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Comparto, Macrocategoria, Categoria, Regione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 cascata</w:t>
            </w:r>
            <w:r>
              <w:rPr>
                <w:sz w:val="17"/>
              </w:rPr>
              <w:t>: scegliendo un valore, gli altri filtri propongono solo le opzioni coerenti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Gli utenti con vista nazionale cercano un ente per nome; i responsabili di ente vedono solo i propri enti</w:t>
            </w:r>
          </w:p>
        </w:tc>
      </w:tr>
    </w:tbl>
    <w:p/>
    <w:p>
      <w:r>
        <w:t>I filtri attivi sono riepilogati come «pillole» e si possono azzerare con un clic.</w:t>
      </w:r>
    </w:p>
    <w:p>
      <w:pPr>
        <w:pStyle w:val="Heading2"/>
      </w:pPr>
      <w:r>
        <w:t>4.3 Le schede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Scheda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Cosa mostra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Analisi per età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Struttura per età e piramide, confronto con gli anni precedenti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Anzianità di servizio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Distribuzione del personale per anni di servizio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Cessazioni dal servizio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Cessazioni per causale e per periodo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Assunti per causale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Assunzioni per tipologia e causale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Tasso di turnover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ricambio del personale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Tasso di sostituzione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Rapporto tra ingressi e uscite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Formazione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Personale formato e giornate di formazione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Progressioni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Progressioni economiche e di carriera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Analisi del personale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Composizione del personale in servizio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Lavoro flessibile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Contratti di lavoro flessibile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Lavoro agile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Diffusione del lavoro agile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Analisi per genere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Indicatori di parità e riequilibrio di genere</w:t>
            </w:r>
          </w:p>
        </w:tc>
      </w:tr>
    </w:tbl>
    <w:p/>
    <w:p>
      <w:r>
        <w:t>Per ogni scheda sono disponibili:</w:t>
      </w:r>
    </w:p>
    <w:p>
      <w:pPr>
        <w:pStyle w:val="ListBullet"/>
      </w:pPr>
      <w:r>
        <w:t>indicatori di sintesi con la variazione rispetto all'anno precedente;</w:t>
      </w:r>
    </w:p>
    <w:p>
      <w:pPr>
        <w:pStyle w:val="ListBullet"/>
      </w:pPr>
      <w:r>
        <w:t>grafici con la tabella dei dati consultabile («Visualizza in tabella») e scaricabile in Excel;</w:t>
      </w:r>
    </w:p>
    <w:p>
      <w:pPr>
        <w:pStyle w:val="ListBullet"/>
      </w:pPr>
      <w:r>
        <w:t>tabella di dettaglio esportabile in CSV, Excel e PDF accessibile.</w:t>
      </w:r>
    </w:p>
    <w:p>
      <w:pPr>
        <w:pStyle w:val="Heading2"/>
      </w:pPr>
      <w:r>
        <w:t>4.4 Note di lettura</w:t>
      </w:r>
    </w:p>
    <w:p>
      <w:pPr>
        <w:pStyle w:val="ListBullet"/>
      </w:pPr>
      <w:r>
        <w:t>I valori seguono le definizioni ufficiali del Conto Annuale.</w:t>
      </w:r>
    </w:p>
    <w:p>
      <w:pPr>
        <w:pStyle w:val="ListBullet"/>
      </w:pPr>
      <w:r>
        <w:t>Quando un dato non è disponibile per l'ente o l'anno selezionati compare «N/D».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