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Cruscotto HR — Adeguamento all'accessibilità (Linee Guida AgID)</w:t>
      </w:r>
    </w:p>
    <w:p>
      <w:r>
        <w:rPr>
          <w:b/>
        </w:rPr>
        <w:t>Documento di avanzamento per il committente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Prodotto</w:t>
            </w:r>
          </w:p>
        </w:tc>
        <w:tc>
          <w:tcPr>
            <w:tcW w:type="dxa" w:w="4320"/>
          </w:tcPr>
          <w:p>
            <w:r>
              <w:rPr>
                <w:b/>
                <w:sz w:val="17"/>
              </w:rPr>
            </w:r>
            <w:r>
              <w:rPr>
                <w:b/>
                <w:sz w:val="17"/>
              </w:rPr>
              <w:t>Cruscotto HR — Sistema di Monitoraggio HR della Pubblica Amministrazione</w:t>
            </w:r>
          </w:p>
        </w:tc>
      </w:tr>
      <w:tr>
        <w:tc>
          <w:tcPr>
            <w:tcW w:type="dxa" w:w="4320"/>
          </w:tcPr>
          <w:p>
            <w:r>
              <w:rPr>
                <w:sz w:val="17"/>
              </w:rPr>
            </w:r>
            <w:r>
              <w:rPr>
                <w:b/>
                <w:sz w:val="17"/>
              </w:rPr>
              <w:t>Riferimento normativo</w:t>
            </w:r>
          </w:p>
        </w:tc>
        <w:tc>
          <w:tcPr>
            <w:tcW w:type="dxa" w:w="4320"/>
          </w:tcPr>
          <w:p>
            <w:r>
              <w:rPr>
                <w:sz w:val="17"/>
              </w:rPr>
            </w:r>
            <w:r>
              <w:rPr>
                <w:sz w:val="17"/>
              </w:rPr>
              <w:t>Legge 4/2004, Linee Guida AgID sull'accessibilità degli strumenti informatici, norma UNI EN 301 549</w:t>
            </w:r>
          </w:p>
        </w:tc>
      </w:tr>
      <w:tr>
        <w:tc>
          <w:tcPr>
            <w:tcW w:type="dxa" w:w="4320"/>
          </w:tcPr>
          <w:p>
            <w:r>
              <w:rPr>
                <w:sz w:val="17"/>
              </w:rPr>
            </w:r>
            <w:r>
              <w:rPr>
                <w:b/>
                <w:sz w:val="17"/>
              </w:rPr>
              <w:t>Livello di conformità obiettivo</w:t>
            </w:r>
          </w:p>
        </w:tc>
        <w:tc>
          <w:tcPr>
            <w:tcW w:type="dxa" w:w="4320"/>
          </w:tcPr>
          <w:p>
            <w:r>
              <w:rPr>
                <w:sz w:val="17"/>
              </w:rPr>
            </w:r>
            <w:r>
              <w:rPr>
                <w:sz w:val="17"/>
              </w:rPr>
              <w:t>WCAG 2.1 — livello AA, con i criteri aggiuntivi delle WCAG 2.2</w:t>
            </w:r>
          </w:p>
        </w:tc>
      </w:tr>
      <w:tr>
        <w:tc>
          <w:tcPr>
            <w:tcW w:type="dxa" w:w="4320"/>
          </w:tcPr>
          <w:p>
            <w:r>
              <w:rPr>
                <w:sz w:val="17"/>
              </w:rPr>
            </w:r>
            <w:r>
              <w:rPr>
                <w:b/>
                <w:sz w:val="17"/>
              </w:rPr>
              <w:t>Versione documento</w:t>
            </w:r>
          </w:p>
        </w:tc>
        <w:tc>
          <w:tcPr>
            <w:tcW w:type="dxa" w:w="4320"/>
          </w:tcPr>
          <w:p>
            <w:r>
              <w:rPr>
                <w:sz w:val="17"/>
              </w:rPr>
            </w:r>
            <w:r>
              <w:rPr>
                <w:sz w:val="17"/>
              </w:rPr>
              <w:t>1.1</w:t>
            </w:r>
          </w:p>
        </w:tc>
      </w:tr>
      <w:tr>
        <w:tc>
          <w:tcPr>
            <w:tcW w:type="dxa" w:w="4320"/>
          </w:tcPr>
          <w:p>
            <w:r>
              <w:rPr>
                <w:sz w:val="17"/>
              </w:rPr>
            </w:r>
            <w:r>
              <w:rPr>
                <w:b/>
                <w:sz w:val="17"/>
              </w:rPr>
              <w:t>Ultimo aggiornamento</w:t>
            </w:r>
          </w:p>
        </w:tc>
        <w:tc>
          <w:tcPr>
            <w:tcW w:type="dxa" w:w="4320"/>
          </w:tcPr>
          <w:p>
            <w:r>
              <w:rPr>
                <w:sz w:val="17"/>
              </w:rPr>
            </w:r>
            <w:r>
              <w:rPr>
                <w:sz w:val="17"/>
              </w:rPr>
              <w:t>Ottobre 2026</w:t>
            </w:r>
          </w:p>
        </w:tc>
      </w:tr>
    </w:tbl>
    <w:p/>
    <w:p>
      <w:r>
        <w:rPr>
          <w:i/>
        </w:rPr>
        <w:t>Questo documento viene aggiornato a ogni fase completata. Lo storico delle versioni è in fondo.</w:t>
      </w:r>
    </w:p>
    <w:p>
      <w:pPr>
        <w:pStyle w:val="Heading2"/>
      </w:pPr>
      <w:r>
        <w:t>1. Sintesi</w:t>
      </w:r>
    </w:p>
    <w:p>
      <w:r>
        <w:t>L'adeguamento è organizzato in fasi successive, così da migliorare l'accessibilità senza interrompere l'uso del Cruscotto e senza cambiare in modo visibile la grafica attuale.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Fase</w:t>
            </w:r>
          </w:p>
        </w:tc>
        <w:tc>
          <w:tcPr>
            <w:tcW w:type="dxa" w:w="2880"/>
          </w:tcPr>
          <w:p>
            <w:r>
              <w:rPr>
                <w:b/>
                <w:sz w:val="17"/>
              </w:rPr>
            </w:r>
            <w:r>
              <w:rPr>
                <w:b/>
                <w:sz w:val="17"/>
              </w:rPr>
              <w:t>Contenuto</w:t>
            </w:r>
          </w:p>
        </w:tc>
        <w:tc>
          <w:tcPr>
            <w:tcW w:type="dxa" w:w="2880"/>
          </w:tcPr>
          <w:p>
            <w:r>
              <w:rPr>
                <w:b/>
                <w:sz w:val="17"/>
              </w:rPr>
            </w:r>
            <w:r>
              <w:rPr>
                <w:b/>
                <w:sz w:val="17"/>
              </w:rPr>
              <w:t>Stato</w:t>
            </w:r>
          </w:p>
        </w:tc>
      </w:tr>
      <w:tr>
        <w:tc>
          <w:tcPr>
            <w:tcW w:type="dxa" w:w="2880"/>
          </w:tcPr>
          <w:p>
            <w:r>
              <w:rPr>
                <w:sz w:val="17"/>
              </w:rPr>
            </w:r>
            <w:r>
              <w:rPr>
                <w:b/>
                <w:sz w:val="17"/>
              </w:rPr>
              <w:t>Fase 0 · Fondamenta</w:t>
            </w:r>
          </w:p>
        </w:tc>
        <w:tc>
          <w:tcPr>
            <w:tcW w:type="dxa" w:w="2880"/>
          </w:tcPr>
          <w:p>
            <w:r>
              <w:rPr>
                <w:sz w:val="17"/>
              </w:rPr>
            </w:r>
            <w:r>
              <w:rPr>
                <w:sz w:val="17"/>
              </w:rPr>
              <w:t>Contrasto dei colori, struttura delle pagine, dimensione minima del testo</w:t>
            </w:r>
          </w:p>
        </w:tc>
        <w:tc>
          <w:tcPr>
            <w:tcW w:type="dxa" w:w="2880"/>
          </w:tcPr>
          <w:p>
            <w:r>
              <w:rPr>
                <w:sz w:val="17"/>
              </w:rPr>
            </w:r>
            <w:r>
              <w:rPr>
                <w:sz w:val="17"/>
              </w:rPr>
              <w:t>✅ Completata</w:t>
            </w:r>
          </w:p>
        </w:tc>
      </w:tr>
      <w:tr>
        <w:tc>
          <w:tcPr>
            <w:tcW w:type="dxa" w:w="2880"/>
          </w:tcPr>
          <w:p>
            <w:r>
              <w:rPr>
                <w:sz w:val="17"/>
              </w:rPr>
            </w:r>
            <w:r>
              <w:rPr>
                <w:b/>
                <w:sz w:val="17"/>
              </w:rPr>
              <w:t>Fase 1 · Componenti</w:t>
            </w:r>
          </w:p>
        </w:tc>
        <w:tc>
          <w:tcPr>
            <w:tcW w:type="dxa" w:w="2880"/>
          </w:tcPr>
          <w:p>
            <w:r>
              <w:rPr>
                <w:sz w:val="17"/>
              </w:rPr>
            </w:r>
            <w:r>
              <w:rPr>
                <w:sz w:val="17"/>
              </w:rPr>
              <w:t>Uso da tastiera, nomi dei controlli, tabelle, annunci, schermi piccoli e zoom</w:t>
            </w:r>
          </w:p>
        </w:tc>
        <w:tc>
          <w:tcPr>
            <w:tcW w:type="dxa" w:w="2880"/>
          </w:tcPr>
          <w:p>
            <w:r>
              <w:rPr>
                <w:sz w:val="17"/>
              </w:rPr>
            </w:r>
            <w:r>
              <w:rPr>
                <w:sz w:val="17"/>
              </w:rPr>
              <w:t>✅ Completata</w:t>
            </w:r>
          </w:p>
        </w:tc>
      </w:tr>
      <w:tr>
        <w:tc>
          <w:tcPr>
            <w:tcW w:type="dxa" w:w="2880"/>
          </w:tcPr>
          <w:p>
            <w:r>
              <w:rPr>
                <w:sz w:val="17"/>
              </w:rPr>
            </w:r>
            <w:r>
              <w:rPr>
                <w:b/>
                <w:sz w:val="17"/>
              </w:rPr>
              <w:t>Fase 1-bis · Verifiche avanzate e WCAG 2.2</w:t>
            </w:r>
          </w:p>
        </w:tc>
        <w:tc>
          <w:tcPr>
            <w:tcW w:type="dxa" w:w="2880"/>
          </w:tcPr>
          <w:p>
            <w:r>
              <w:rPr>
                <w:sz w:val="17"/>
              </w:rPr>
            </w:r>
            <w:r>
              <w:rPr>
                <w:sz w:val="17"/>
              </w:rPr>
              <w:t>Scadenza della sessione, spaziatura del testo, suggerimenti, movimento, focus non coperto, dimensione dei pulsanti, file esportati, controllo automatico permanente</w:t>
            </w:r>
          </w:p>
        </w:tc>
        <w:tc>
          <w:tcPr>
            <w:tcW w:type="dxa" w:w="2880"/>
          </w:tcPr>
          <w:p>
            <w:r>
              <w:rPr>
                <w:sz w:val="17"/>
              </w:rPr>
            </w:r>
            <w:r>
              <w:rPr>
                <w:sz w:val="17"/>
              </w:rPr>
              <w:t>✅ Completata</w:t>
            </w:r>
          </w:p>
        </w:tc>
      </w:tr>
      <w:tr>
        <w:tc>
          <w:tcPr>
            <w:tcW w:type="dxa" w:w="2880"/>
          </w:tcPr>
          <w:p>
            <w:r>
              <w:rPr>
                <w:sz w:val="17"/>
              </w:rPr>
            </w:r>
            <w:r>
              <w:rPr>
                <w:b/>
                <w:sz w:val="17"/>
              </w:rPr>
              <w:t>Verifiche specialistiche</w:t>
            </w:r>
          </w:p>
        </w:tc>
        <w:tc>
          <w:tcPr>
            <w:tcW w:type="dxa" w:w="2880"/>
          </w:tcPr>
          <w:p>
            <w:r>
              <w:rPr>
                <w:sz w:val="17"/>
              </w:rPr>
            </w:r>
            <w:r>
              <w:rPr>
                <w:sz w:val="17"/>
              </w:rPr>
              <w:t>Prove con lettori di schermo reali, pagina di accesso Keycloak</w:t>
            </w:r>
          </w:p>
        </w:tc>
        <w:tc>
          <w:tcPr>
            <w:tcW w:type="dxa" w:w="2880"/>
          </w:tcPr>
          <w:p>
            <w:r>
              <w:rPr>
                <w:sz w:val="17"/>
              </w:rPr>
            </w:r>
            <w:r>
              <w:rPr>
                <w:sz w:val="17"/>
              </w:rPr>
              <w:t>⏳ A cura di esperti / gestore Keycloak</w:t>
            </w:r>
          </w:p>
        </w:tc>
      </w:tr>
      <w:tr>
        <w:tc>
          <w:tcPr>
            <w:tcW w:type="dxa" w:w="2880"/>
          </w:tcPr>
          <w:p>
            <w:r>
              <w:rPr>
                <w:sz w:val="17"/>
              </w:rPr>
            </w:r>
            <w:r>
              <w:rPr>
                <w:b/>
                <w:sz w:val="17"/>
              </w:rPr>
              <w:t>Fase 2 · Adempimenti</w:t>
            </w:r>
          </w:p>
        </w:tc>
        <w:tc>
          <w:tcPr>
            <w:tcW w:type="dxa" w:w="2880"/>
          </w:tcPr>
          <w:p>
            <w:r>
              <w:rPr>
                <w:sz w:val="17"/>
              </w:rPr>
            </w:r>
            <w:r>
              <w:rPr>
                <w:sz w:val="17"/>
              </w:rPr>
              <w:t>Dichiarazione di Accessibilità e canale per le segnalazioni</w:t>
            </w:r>
          </w:p>
        </w:tc>
        <w:tc>
          <w:tcPr>
            <w:tcW w:type="dxa" w:w="2880"/>
          </w:tcPr>
          <w:p>
            <w:r>
              <w:rPr>
                <w:sz w:val="17"/>
              </w:rPr>
            </w:r>
            <w:r>
              <w:rPr>
                <w:sz w:val="17"/>
              </w:rPr>
              <w:t>🟡 Pronta: bozza della dichiarazione e link già predisposti · ⏳ dati del committente</w:t>
            </w:r>
          </w:p>
        </w:tc>
      </w:tr>
      <w:tr>
        <w:tc>
          <w:tcPr>
            <w:tcW w:type="dxa" w:w="2880"/>
          </w:tcPr>
          <w:p>
            <w:r>
              <w:rPr>
                <w:sz w:val="17"/>
              </w:rPr>
            </w:r>
            <w:r>
              <w:rPr>
                <w:b/>
                <w:sz w:val="17"/>
              </w:rPr>
              <w:t>Fase 3 · Grafici</w:t>
            </w:r>
          </w:p>
        </w:tc>
        <w:tc>
          <w:tcPr>
            <w:tcW w:type="dxa" w:w="2880"/>
          </w:tcPr>
          <w:p>
            <w:r>
              <w:rPr>
                <w:sz w:val="17"/>
              </w:rPr>
            </w:r>
            <w:r>
              <w:rPr>
                <w:sz w:val="17"/>
              </w:rPr>
              <w:t>Tabella dei dati per ogni grafico, scaricabile in Excel; contrasto di linee e barre</w:t>
            </w:r>
          </w:p>
        </w:tc>
        <w:tc>
          <w:tcPr>
            <w:tcW w:type="dxa" w:w="2880"/>
          </w:tcPr>
          <w:p>
            <w:r>
              <w:rPr>
                <w:sz w:val="17"/>
              </w:rPr>
            </w:r>
            <w:r>
              <w:rPr>
                <w:sz w:val="17"/>
              </w:rPr>
              <w:t>✅ Completata</w:t>
            </w:r>
          </w:p>
        </w:tc>
      </w:tr>
    </w:tbl>
    <w:p/>
    <w:p>
      <w:r>
        <w:rPr>
          <w:b/>
        </w:rPr>
        <w:t>Risultato della verifica attuale</w:t>
      </w:r>
      <w:r>
        <w:t xml:space="preserve">: controllo automatico permanente su </w:t>
      </w:r>
      <w:r>
        <w:rPr>
          <w:b/>
        </w:rPr>
        <w:t>28 pagine</w:t>
      </w:r>
      <w:r>
        <w:t xml:space="preserve"> del Cruscotto, ciascuna verificata con </w:t>
      </w:r>
      <w:r>
        <w:rPr>
          <w:b/>
        </w:rPr>
        <w:t>due profili</w:t>
      </w:r>
      <w:r>
        <w:t xml:space="preserve"> (utente del Dipartimento e responsabile HR di ente), con le regole WCAG 2.0, 2.1 e 2.2 di livello A e AA e con le prove di riflusso, spaziatura del testo e focus non coperto — </w:t>
      </w:r>
      <w:r>
        <w:rPr>
          <w:b/>
        </w:rPr>
        <w:t>nessun errore residuo</w:t>
      </w:r>
      <w:r>
        <w:t>, esclusi i grafici che saranno trattati nella Fase 3.</w:t>
      </w:r>
    </w:p>
    <w:p>
      <w:pPr>
        <w:pStyle w:val="Heading2"/>
      </w:pPr>
      <w:r>
        <w:t>2. Come verifichiamo</w:t>
      </w:r>
    </w:p>
    <w:p>
      <w:pPr>
        <w:pStyle w:val="ListBullet"/>
      </w:pPr>
      <w:r>
        <w:rPr>
          <w:b/>
        </w:rPr>
        <w:t>Controllo automatico</w:t>
      </w:r>
      <w:r>
        <w:t xml:space="preserve"> con uno strumento di analisi riconosciuto a livello internazionale (axe-core), che applica le regole WCAG 2.0, 2.1 e 2.2 di livello A e AA.</w:t>
      </w:r>
    </w:p>
    <w:p>
      <w:pPr>
        <w:pStyle w:val="ListBullet"/>
      </w:pPr>
      <w:r>
        <w:rPr>
          <w:b/>
        </w:rPr>
        <w:t>Controllo automatico permanente</w:t>
      </w:r>
      <w:r>
        <w:t>: lo stesso controllo è incluso nel progetto e si esegue con un solo comando prima di ogni rilascio; in caso di problemi il rilascio viene segnalato come non conforme. Oltre alle regole WCAG verifica in automatico il riflusso a 320 pixel, la spaziatura del testo e che l'elemento selezionato da tastiera non resti nascosto.</w:t>
      </w:r>
    </w:p>
    <w:p>
      <w:pPr>
        <w:pStyle w:val="ListBullet"/>
      </w:pPr>
      <w:r>
        <w:rPr>
          <w:b/>
        </w:rPr>
        <w:t>Prove manuali con la sola tastiera</w:t>
      </w:r>
      <w:r>
        <w:t>: navigazione completa, apertura e chiusura di filtri, menu e finestre.</w:t>
      </w:r>
    </w:p>
    <w:p>
      <w:pPr>
        <w:pStyle w:val="ListBullet"/>
      </w:pPr>
      <w:r>
        <w:rPr>
          <w:b/>
        </w:rPr>
        <w:t>Prove su schermi stretti e con zoom</w:t>
      </w:r>
      <w:r>
        <w:t>: larghezza di 320 pixel (smartphone) e ingrandimento al 200%.</w:t>
      </w:r>
    </w:p>
    <w:p>
      <w:pPr>
        <w:pStyle w:val="ListBullet"/>
      </w:pPr>
      <w:r>
        <w:rPr>
          <w:b/>
        </w:rPr>
        <w:t>Prove con utenti di profilo diverso</w:t>
      </w:r>
      <w:r>
        <w:t>: utente del Dipartimento e responsabile HR di ente.</w:t>
      </w:r>
    </w:p>
    <w:p>
      <w:r>
        <w:t>Le pagine verificate comprendono: Vista Executive, Vista Sintetica (D1–D6), Conto Annuale (tutte le schede), SIPrO (tutte le schede), InPA, Minerva, Syllabus, KPI Riforma PA, Lavoro Pubblico, Pannello di Governo, Amministrazione, pagina di benvenuto e pagina di accesso.</w:t>
      </w:r>
    </w:p>
    <w:p>
      <w:pPr>
        <w:pStyle w:val="Heading2"/>
      </w:pPr>
      <w:r>
        <w:t>3. Interventi realizzati</w:t>
      </w:r>
    </w:p>
    <w:p>
      <w:pPr>
        <w:pStyle w:val="Heading3"/>
      </w:pPr>
      <w:r>
        <w:t>3.1 Fase 0 · Fondamenta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Intervento</w:t>
            </w:r>
          </w:p>
        </w:tc>
        <w:tc>
          <w:tcPr>
            <w:tcW w:type="dxa" w:w="2880"/>
          </w:tcPr>
          <w:p>
            <w:r>
              <w:rPr>
                <w:b/>
                <w:sz w:val="17"/>
              </w:rPr>
            </w:r>
            <w:r>
              <w:rPr>
                <w:b/>
                <w:sz w:val="17"/>
              </w:rPr>
              <w:t>Cosa cambia per l'utente</w:t>
            </w:r>
          </w:p>
        </w:tc>
        <w:tc>
          <w:tcPr>
            <w:tcW w:type="dxa" w:w="2880"/>
          </w:tcPr>
          <w:p>
            <w:r>
              <w:rPr>
                <w:b/>
                <w:sz w:val="17"/>
              </w:rPr>
            </w:r>
            <w:r>
              <w:rPr>
                <w:b/>
                <w:sz w:val="17"/>
              </w:rPr>
              <w:t>Criterio WCAG</w:t>
            </w:r>
          </w:p>
        </w:tc>
      </w:tr>
      <w:tr>
        <w:tc>
          <w:tcPr>
            <w:tcW w:type="dxa" w:w="2880"/>
          </w:tcPr>
          <w:p>
            <w:r>
              <w:rPr>
                <w:sz w:val="17"/>
              </w:rPr>
            </w:r>
            <w:r>
              <w:rPr>
                <w:b/>
                <w:sz w:val="17"/>
              </w:rPr>
              <w:t>Contrasto dei colori</w:t>
            </w:r>
          </w:p>
        </w:tc>
        <w:tc>
          <w:tcPr>
            <w:tcW w:type="dxa" w:w="2880"/>
          </w:tcPr>
          <w:p>
            <w:r>
              <w:rPr>
                <w:sz w:val="17"/>
              </w:rPr>
            </w:r>
            <w:r>
              <w:rPr>
                <w:sz w:val="17"/>
              </w:rPr>
              <w:t>Testi, etichette, badge e voci del menu che risultavano troppo chiari sono stati leggermente scuriti (verde, turchese, arancione, grigi, semafori). Le percentuali sulle barre colorate hanno un piccolo sfondo scuro.</w:t>
            </w:r>
          </w:p>
        </w:tc>
        <w:tc>
          <w:tcPr>
            <w:tcW w:type="dxa" w:w="2880"/>
          </w:tcPr>
          <w:p>
            <w:r>
              <w:rPr>
                <w:sz w:val="17"/>
              </w:rPr>
            </w:r>
            <w:r>
              <w:rPr>
                <w:sz w:val="17"/>
              </w:rPr>
              <w:t>1.4.3 Contrasto (minimo)</w:t>
            </w:r>
          </w:p>
        </w:tc>
      </w:tr>
      <w:tr>
        <w:tc>
          <w:tcPr>
            <w:tcW w:type="dxa" w:w="2880"/>
          </w:tcPr>
          <w:p>
            <w:r>
              <w:rPr>
                <w:sz w:val="17"/>
              </w:rPr>
            </w:r>
            <w:r>
              <w:rPr>
                <w:b/>
                <w:sz w:val="17"/>
              </w:rPr>
              <w:t>Struttura delle pagine</w:t>
            </w:r>
          </w:p>
        </w:tc>
        <w:tc>
          <w:tcPr>
            <w:tcW w:type="dxa" w:w="2880"/>
          </w:tcPr>
          <w:p>
            <w:r>
              <w:rPr>
                <w:sz w:val="17"/>
              </w:rPr>
            </w:r>
            <w:r>
              <w:rPr>
                <w:sz w:val="17"/>
              </w:rPr>
              <w:t>Intestazione, menu, contenuto principale e piè di pagina sono riconoscibili dai lettori di schermo. Ogni pagina ha un titolo principale e i titoli seguono un ordine corretto.</w:t>
            </w:r>
          </w:p>
        </w:tc>
        <w:tc>
          <w:tcPr>
            <w:tcW w:type="dxa" w:w="2880"/>
          </w:tcPr>
          <w:p>
            <w:r>
              <w:rPr>
                <w:sz w:val="17"/>
              </w:rPr>
            </w:r>
            <w:r>
              <w:rPr>
                <w:sz w:val="17"/>
              </w:rPr>
              <w:t>1.3.1 Informazioni e correlazioni · 2.4.6 Intestazioni ed etichette</w:t>
            </w:r>
          </w:p>
        </w:tc>
      </w:tr>
      <w:tr>
        <w:tc>
          <w:tcPr>
            <w:tcW w:type="dxa" w:w="2880"/>
          </w:tcPr>
          <w:p>
            <w:r>
              <w:rPr>
                <w:sz w:val="17"/>
              </w:rPr>
            </w:r>
            <w:r>
              <w:rPr>
                <w:b/>
                <w:sz w:val="17"/>
              </w:rPr>
              <w:t>Icone decorative</w:t>
            </w:r>
          </w:p>
        </w:tc>
        <w:tc>
          <w:tcPr>
            <w:tcW w:type="dxa" w:w="2880"/>
          </w:tcPr>
          <w:p>
            <w:r>
              <w:rPr>
                <w:sz w:val="17"/>
              </w:rPr>
            </w:r>
            <w:r>
              <w:rPr>
                <w:sz w:val="17"/>
              </w:rPr>
              <w:t>Le icone puramente grafiche vengono ignorate dai lettori di schermo, che leggono solo il testo utile.</w:t>
            </w:r>
          </w:p>
        </w:tc>
        <w:tc>
          <w:tcPr>
            <w:tcW w:type="dxa" w:w="2880"/>
          </w:tcPr>
          <w:p>
            <w:r>
              <w:rPr>
                <w:sz w:val="17"/>
              </w:rPr>
            </w:r>
            <w:r>
              <w:rPr>
                <w:sz w:val="17"/>
              </w:rPr>
              <w:t>1.1.1 Contenuti non testuali</w:t>
            </w:r>
          </w:p>
        </w:tc>
      </w:tr>
      <w:tr>
        <w:tc>
          <w:tcPr>
            <w:tcW w:type="dxa" w:w="2880"/>
          </w:tcPr>
          <w:p>
            <w:r>
              <w:rPr>
                <w:sz w:val="17"/>
              </w:rPr>
            </w:r>
            <w:r>
              <w:rPr>
                <w:b/>
                <w:sz w:val="17"/>
              </w:rPr>
              <w:t>Menu a tendina dei filtri</w:t>
            </w:r>
          </w:p>
        </w:tc>
        <w:tc>
          <w:tcPr>
            <w:tcW w:type="dxa" w:w="2880"/>
          </w:tcPr>
          <w:p>
            <w:r>
              <w:rPr>
                <w:sz w:val="17"/>
              </w:rPr>
            </w:r>
            <w:r>
              <w:rPr>
                <w:sz w:val="17"/>
              </w:rPr>
              <w:t>Ogni menu di selezione ha un nome leggibile (es. «Regione», «Comparto»).</w:t>
            </w:r>
          </w:p>
        </w:tc>
        <w:tc>
          <w:tcPr>
            <w:tcW w:type="dxa" w:w="2880"/>
          </w:tcPr>
          <w:p>
            <w:r>
              <w:rPr>
                <w:sz w:val="17"/>
              </w:rPr>
            </w:r>
            <w:r>
              <w:rPr>
                <w:sz w:val="17"/>
              </w:rPr>
              <w:t>4.1.2 Nome, ruolo, valore</w:t>
            </w:r>
          </w:p>
        </w:tc>
      </w:tr>
      <w:tr>
        <w:tc>
          <w:tcPr>
            <w:tcW w:type="dxa" w:w="2880"/>
          </w:tcPr>
          <w:p>
            <w:r>
              <w:rPr>
                <w:sz w:val="17"/>
              </w:rPr>
            </w:r>
            <w:r>
              <w:rPr>
                <w:b/>
                <w:sz w:val="17"/>
              </w:rPr>
              <w:t>Elenchi scorrevoli</w:t>
            </w:r>
          </w:p>
        </w:tc>
        <w:tc>
          <w:tcPr>
            <w:tcW w:type="dxa" w:w="2880"/>
          </w:tcPr>
          <w:p>
            <w:r>
              <w:rPr>
                <w:sz w:val="17"/>
              </w:rPr>
            </w:r>
            <w:r>
              <w:rPr>
                <w:sz w:val="17"/>
              </w:rPr>
              <w:t>Le liste e le tabelle con barra di scorrimento si possono raggiungere e scorrere anche da tastiera.</w:t>
            </w:r>
          </w:p>
        </w:tc>
        <w:tc>
          <w:tcPr>
            <w:tcW w:type="dxa" w:w="2880"/>
          </w:tcPr>
          <w:p>
            <w:r>
              <w:rPr>
                <w:sz w:val="17"/>
              </w:rPr>
            </w:r>
            <w:r>
              <w:rPr>
                <w:sz w:val="17"/>
              </w:rPr>
              <w:t>2.1.1 Tastiera</w:t>
            </w:r>
          </w:p>
        </w:tc>
      </w:tr>
      <w:tr>
        <w:tc>
          <w:tcPr>
            <w:tcW w:type="dxa" w:w="2880"/>
          </w:tcPr>
          <w:p>
            <w:r>
              <w:rPr>
                <w:sz w:val="17"/>
              </w:rPr>
            </w:r>
            <w:r>
              <w:rPr>
                <w:b/>
                <w:sz w:val="17"/>
              </w:rPr>
              <w:t>Testi molto piccoli</w:t>
            </w:r>
          </w:p>
        </w:tc>
        <w:tc>
          <w:tcPr>
            <w:tcW w:type="dxa" w:w="2880"/>
          </w:tcPr>
          <w:p>
            <w:r>
              <w:rPr>
                <w:sz w:val="17"/>
              </w:rPr>
            </w:r>
            <w:r>
              <w:rPr>
                <w:sz w:val="17"/>
              </w:rPr>
              <w:t>I testi più piccoli sono stati portati a una dimensione minima di 10 pixel.</w:t>
            </w:r>
          </w:p>
        </w:tc>
        <w:tc>
          <w:tcPr>
            <w:tcW w:type="dxa" w:w="2880"/>
          </w:tcPr>
          <w:p>
            <w:r>
              <w:rPr>
                <w:sz w:val="17"/>
              </w:rPr>
            </w:r>
            <w:r>
              <w:rPr>
                <w:sz w:val="17"/>
              </w:rPr>
              <w:t>Buona pratica di leggibilità</w:t>
            </w:r>
          </w:p>
        </w:tc>
      </w:tr>
    </w:tbl>
    <w:p/>
    <w:p>
      <w:pPr>
        <w:pStyle w:val="Heading3"/>
      </w:pPr>
      <w:r>
        <w:t>3.2 Fase 1 · Componenti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Intervento</w:t>
            </w:r>
          </w:p>
        </w:tc>
        <w:tc>
          <w:tcPr>
            <w:tcW w:type="dxa" w:w="2880"/>
          </w:tcPr>
          <w:p>
            <w:r>
              <w:rPr>
                <w:b/>
                <w:sz w:val="17"/>
              </w:rPr>
            </w:r>
            <w:r>
              <w:rPr>
                <w:b/>
                <w:sz w:val="17"/>
              </w:rPr>
              <w:t>Cosa cambia per l'utente</w:t>
            </w:r>
          </w:p>
        </w:tc>
        <w:tc>
          <w:tcPr>
            <w:tcW w:type="dxa" w:w="2880"/>
          </w:tcPr>
          <w:p>
            <w:r>
              <w:rPr>
                <w:b/>
                <w:sz w:val="17"/>
              </w:rPr>
            </w:r>
            <w:r>
              <w:rPr>
                <w:b/>
                <w:sz w:val="17"/>
              </w:rPr>
              <w:t>Criterio WCAG</w:t>
            </w:r>
          </w:p>
        </w:tc>
      </w:tr>
      <w:tr>
        <w:tc>
          <w:tcPr>
            <w:tcW w:type="dxa" w:w="2880"/>
          </w:tcPr>
          <w:p>
            <w:r>
              <w:rPr>
                <w:sz w:val="17"/>
              </w:rPr>
            </w:r>
            <w:r>
              <w:rPr>
                <w:b/>
                <w:sz w:val="17"/>
              </w:rPr>
              <w:t>Titolo della scheda del browser</w:t>
            </w:r>
          </w:p>
        </w:tc>
        <w:tc>
          <w:tcPr>
            <w:tcW w:type="dxa" w:w="2880"/>
          </w:tcPr>
          <w:p>
            <w:r>
              <w:rPr>
                <w:sz w:val="17"/>
              </w:rPr>
            </w:r>
            <w:r>
              <w:rPr>
                <w:sz w:val="17"/>
              </w:rPr>
              <w:t>Il titolo della scheda riporta sempre la sezione aperta (es. «Conto Annuale · Analisi per età · Cruscotto HR»). Utile per orientarsi e per chi usa più schede.</w:t>
            </w:r>
          </w:p>
        </w:tc>
        <w:tc>
          <w:tcPr>
            <w:tcW w:type="dxa" w:w="2880"/>
          </w:tcPr>
          <w:p>
            <w:r>
              <w:rPr>
                <w:sz w:val="17"/>
              </w:rPr>
            </w:r>
            <w:r>
              <w:rPr>
                <w:sz w:val="17"/>
              </w:rPr>
              <w:t>2.4.2 Titolo della pagina</w:t>
            </w:r>
          </w:p>
        </w:tc>
      </w:tr>
      <w:tr>
        <w:tc>
          <w:tcPr>
            <w:tcW w:type="dxa" w:w="2880"/>
          </w:tcPr>
          <w:p>
            <w:r>
              <w:rPr>
                <w:sz w:val="17"/>
              </w:rPr>
            </w:r>
            <w:r>
              <w:rPr>
                <w:b/>
                <w:sz w:val="17"/>
              </w:rPr>
              <w:t>Annuncio del cambio pagina</w:t>
            </w:r>
          </w:p>
        </w:tc>
        <w:tc>
          <w:tcPr>
            <w:tcW w:type="dxa" w:w="2880"/>
          </w:tcPr>
          <w:p>
            <w:r>
              <w:rPr>
                <w:sz w:val="17"/>
              </w:rPr>
            </w:r>
            <w:r>
              <w:rPr>
                <w:sz w:val="17"/>
              </w:rPr>
              <w:t>Quando si cambia sezione, il lettore di schermo annuncia il nome della nuova pagina.</w:t>
            </w:r>
          </w:p>
        </w:tc>
        <w:tc>
          <w:tcPr>
            <w:tcW w:type="dxa" w:w="2880"/>
          </w:tcPr>
          <w:p>
            <w:r>
              <w:rPr>
                <w:sz w:val="17"/>
              </w:rPr>
            </w:r>
            <w:r>
              <w:rPr>
                <w:sz w:val="17"/>
              </w:rPr>
              <w:t>4.1.3 Messaggi di stato</w:t>
            </w:r>
          </w:p>
        </w:tc>
      </w:tr>
      <w:tr>
        <w:tc>
          <w:tcPr>
            <w:tcW w:type="dxa" w:w="2880"/>
          </w:tcPr>
          <w:p>
            <w:r>
              <w:rPr>
                <w:sz w:val="17"/>
              </w:rPr>
            </w:r>
            <w:r>
              <w:rPr>
                <w:b/>
                <w:sz w:val="17"/>
              </w:rPr>
              <w:t>Annunci di caricamento</w:t>
            </w:r>
          </w:p>
        </w:tc>
        <w:tc>
          <w:tcPr>
            <w:tcW w:type="dxa" w:w="2880"/>
          </w:tcPr>
          <w:p>
            <w:r>
              <w:rPr>
                <w:sz w:val="17"/>
              </w:rPr>
            </w:r>
            <w:r>
              <w:rPr>
                <w:sz w:val="17"/>
              </w:rPr>
              <w:t>Se i dati impiegano più di un istante, il lettore di schermo annuncia «Caricamento dati in corso…» e poi «Dati caricati.».</w:t>
            </w:r>
          </w:p>
        </w:tc>
        <w:tc>
          <w:tcPr>
            <w:tcW w:type="dxa" w:w="2880"/>
          </w:tcPr>
          <w:p>
            <w:r>
              <w:rPr>
                <w:sz w:val="17"/>
              </w:rPr>
            </w:r>
            <w:r>
              <w:rPr>
                <w:sz w:val="17"/>
              </w:rPr>
              <w:t>4.1.3 Messaggi di stato</w:t>
            </w:r>
          </w:p>
        </w:tc>
      </w:tr>
      <w:tr>
        <w:tc>
          <w:tcPr>
            <w:tcW w:type="dxa" w:w="2880"/>
          </w:tcPr>
          <w:p>
            <w:r>
              <w:rPr>
                <w:sz w:val="17"/>
              </w:rPr>
            </w:r>
            <w:r>
              <w:rPr>
                <w:b/>
                <w:sz w:val="17"/>
              </w:rPr>
              <w:t>Messaggi di errore</w:t>
            </w:r>
          </w:p>
        </w:tc>
        <w:tc>
          <w:tcPr>
            <w:tcW w:type="dxa" w:w="2880"/>
          </w:tcPr>
          <w:p>
            <w:r>
              <w:rPr>
                <w:sz w:val="17"/>
              </w:rPr>
            </w:r>
            <w:r>
              <w:rPr>
                <w:sz w:val="17"/>
              </w:rPr>
              <w:t>Gli avvisi di errore vengono letti immediatamente dal lettore di schermo.</w:t>
            </w:r>
          </w:p>
        </w:tc>
        <w:tc>
          <w:tcPr>
            <w:tcW w:type="dxa" w:w="2880"/>
          </w:tcPr>
          <w:p>
            <w:r>
              <w:rPr>
                <w:sz w:val="17"/>
              </w:rPr>
            </w:r>
            <w:r>
              <w:rPr>
                <w:sz w:val="17"/>
              </w:rPr>
              <w:t>4.1.3 Messaggi di stato</w:t>
            </w:r>
          </w:p>
        </w:tc>
      </w:tr>
      <w:tr>
        <w:tc>
          <w:tcPr>
            <w:tcW w:type="dxa" w:w="2880"/>
          </w:tcPr>
          <w:p>
            <w:r>
              <w:rPr>
                <w:sz w:val="17"/>
              </w:rPr>
            </w:r>
            <w:r>
              <w:rPr>
                <w:b/>
                <w:sz w:val="17"/>
              </w:rPr>
              <w:t>Collegamento «Vai al contenuto principale»</w:t>
            </w:r>
          </w:p>
        </w:tc>
        <w:tc>
          <w:tcPr>
            <w:tcW w:type="dxa" w:w="2880"/>
          </w:tcPr>
          <w:p>
            <w:r>
              <w:rPr>
                <w:sz w:val="17"/>
              </w:rPr>
            </w:r>
            <w:r>
              <w:rPr>
                <w:sz w:val="17"/>
              </w:rPr>
              <w:t>Il primo tasto Tab mostra il collegamento che porta direttamente al contenuto, saltando menu e intestazione.</w:t>
            </w:r>
          </w:p>
        </w:tc>
        <w:tc>
          <w:tcPr>
            <w:tcW w:type="dxa" w:w="2880"/>
          </w:tcPr>
          <w:p>
            <w:r>
              <w:rPr>
                <w:sz w:val="17"/>
              </w:rPr>
            </w:r>
            <w:r>
              <w:rPr>
                <w:sz w:val="17"/>
              </w:rPr>
              <w:t>2.4.1 Salto di blocchi</w:t>
            </w:r>
          </w:p>
        </w:tc>
      </w:tr>
      <w:tr>
        <w:tc>
          <w:tcPr>
            <w:tcW w:type="dxa" w:w="2880"/>
          </w:tcPr>
          <w:p>
            <w:r>
              <w:rPr>
                <w:sz w:val="17"/>
              </w:rPr>
            </w:r>
            <w:r>
              <w:rPr>
                <w:b/>
                <w:sz w:val="17"/>
              </w:rPr>
              <w:t>Filtri da tastiera</w:t>
            </w:r>
          </w:p>
        </w:tc>
        <w:tc>
          <w:tcPr>
            <w:tcW w:type="dxa" w:w="2880"/>
          </w:tcPr>
          <w:p>
            <w:r>
              <w:rPr>
                <w:sz w:val="17"/>
              </w:rPr>
            </w:r>
            <w:r>
              <w:rPr>
                <w:sz w:val="17"/>
              </w:rPr>
              <w:t>I filtri in alto (Anno, Regione, Comparto…) si aprono con Invio o Freccia giù, si scorrono con le frecce, si chiudono con Esc tornando al filtro.</w:t>
            </w:r>
          </w:p>
        </w:tc>
        <w:tc>
          <w:tcPr>
            <w:tcW w:type="dxa" w:w="2880"/>
          </w:tcPr>
          <w:p>
            <w:r>
              <w:rPr>
                <w:sz w:val="17"/>
              </w:rPr>
            </w:r>
            <w:r>
              <w:rPr>
                <w:sz w:val="17"/>
              </w:rPr>
              <w:t>2.1.1 Tastiera · 2.4.3 Ordine del focus</w:t>
            </w:r>
          </w:p>
        </w:tc>
      </w:tr>
      <w:tr>
        <w:tc>
          <w:tcPr>
            <w:tcW w:type="dxa" w:w="2880"/>
          </w:tcPr>
          <w:p>
            <w:r>
              <w:rPr>
                <w:sz w:val="17"/>
              </w:rPr>
            </w:r>
            <w:r>
              <w:rPr>
                <w:b/>
                <w:sz w:val="17"/>
              </w:rPr>
              <w:t>Card degli indici</w:t>
            </w:r>
          </w:p>
        </w:tc>
        <w:tc>
          <w:tcPr>
            <w:tcW w:type="dxa" w:w="2880"/>
          </w:tcPr>
          <w:p>
            <w:r>
              <w:rPr>
                <w:sz w:val="17"/>
              </w:rPr>
            </w:r>
            <w:r>
              <w:rPr>
                <w:sz w:val="17"/>
              </w:rPr>
              <w:t>Le card della Vista Executive e della Vista Sintetica si aprono con Invio.</w:t>
            </w:r>
          </w:p>
        </w:tc>
        <w:tc>
          <w:tcPr>
            <w:tcW w:type="dxa" w:w="2880"/>
          </w:tcPr>
          <w:p>
            <w:r>
              <w:rPr>
                <w:sz w:val="17"/>
              </w:rPr>
            </w:r>
            <w:r>
              <w:rPr>
                <w:sz w:val="17"/>
              </w:rPr>
              <w:t>2.1.1 Tastiera</w:t>
            </w:r>
          </w:p>
        </w:tc>
      </w:tr>
      <w:tr>
        <w:tc>
          <w:tcPr>
            <w:tcW w:type="dxa" w:w="2880"/>
          </w:tcPr>
          <w:p>
            <w:r>
              <w:rPr>
                <w:sz w:val="17"/>
              </w:rPr>
            </w:r>
            <w:r>
              <w:rPr>
                <w:b/>
                <w:sz w:val="17"/>
              </w:rPr>
              <w:t>Finestre e menu</w:t>
            </w:r>
          </w:p>
        </w:tc>
        <w:tc>
          <w:tcPr>
            <w:tcW w:type="dxa" w:w="2880"/>
          </w:tcPr>
          <w:p>
            <w:r>
              <w:rPr>
                <w:sz w:val="17"/>
              </w:rPr>
            </w:r>
            <w:r>
              <w:rPr>
                <w:sz w:val="17"/>
              </w:rPr>
              <w:t>Si chiudono con Esc e riportano il cursore al punto di partenza.</w:t>
            </w:r>
          </w:p>
        </w:tc>
        <w:tc>
          <w:tcPr>
            <w:tcW w:type="dxa" w:w="2880"/>
          </w:tcPr>
          <w:p>
            <w:r>
              <w:rPr>
                <w:sz w:val="17"/>
              </w:rPr>
            </w:r>
            <w:r>
              <w:rPr>
                <w:sz w:val="17"/>
              </w:rPr>
              <w:t>2.1.2 Nessun impedimento all'uso della tastiera</w:t>
            </w:r>
          </w:p>
        </w:tc>
      </w:tr>
      <w:tr>
        <w:tc>
          <w:tcPr>
            <w:tcW w:type="dxa" w:w="2880"/>
          </w:tcPr>
          <w:p>
            <w:r>
              <w:rPr>
                <w:sz w:val="17"/>
              </w:rPr>
            </w:r>
            <w:r>
              <w:rPr>
                <w:b/>
                <w:sz w:val="17"/>
              </w:rPr>
              <w:t>Evidenziazione del focus</w:t>
            </w:r>
          </w:p>
        </w:tc>
        <w:tc>
          <w:tcPr>
            <w:tcW w:type="dxa" w:w="2880"/>
          </w:tcPr>
          <w:p>
            <w:r>
              <w:rPr>
                <w:sz w:val="17"/>
              </w:rPr>
            </w:r>
            <w:r>
              <w:rPr>
                <w:sz w:val="17"/>
              </w:rPr>
              <w:t>Ogni elemento raggiunto con la tastiera è evidenziato da un contorno ben visibile, anche i pulsanti che compaiono solo al passaggio del mouse.</w:t>
            </w:r>
          </w:p>
        </w:tc>
        <w:tc>
          <w:tcPr>
            <w:tcW w:type="dxa" w:w="2880"/>
          </w:tcPr>
          <w:p>
            <w:r>
              <w:rPr>
                <w:sz w:val="17"/>
              </w:rPr>
            </w:r>
            <w:r>
              <w:rPr>
                <w:sz w:val="17"/>
              </w:rPr>
              <w:t>2.4.7 Focus visibile</w:t>
            </w:r>
          </w:p>
        </w:tc>
      </w:tr>
      <w:tr>
        <w:tc>
          <w:tcPr>
            <w:tcW w:type="dxa" w:w="2880"/>
          </w:tcPr>
          <w:p>
            <w:r>
              <w:rPr>
                <w:sz w:val="17"/>
              </w:rPr>
            </w:r>
            <w:r>
              <w:rPr>
                <w:b/>
                <w:sz w:val="17"/>
              </w:rPr>
              <w:t>Nomi dei controlli</w:t>
            </w:r>
          </w:p>
        </w:tc>
        <w:tc>
          <w:tcPr>
            <w:tcW w:type="dxa" w:w="2880"/>
          </w:tcPr>
          <w:p>
            <w:r>
              <w:rPr>
                <w:sz w:val="17"/>
              </w:rPr>
            </w:r>
            <w:r>
              <w:rPr>
                <w:sz w:val="17"/>
              </w:rPr>
              <w:t>Campi di ricerca, cursori di simulazione e pulsanti con sola icona (chiudi, elimina, sposta, pagina precedente/successiva) hanno un nome leggibile. La pagina corrente della paginazione viene annunciata.</w:t>
            </w:r>
          </w:p>
        </w:tc>
        <w:tc>
          <w:tcPr>
            <w:tcW w:type="dxa" w:w="2880"/>
          </w:tcPr>
          <w:p>
            <w:r>
              <w:rPr>
                <w:sz w:val="17"/>
              </w:rPr>
            </w:r>
            <w:r>
              <w:rPr>
                <w:sz w:val="17"/>
              </w:rPr>
              <w:t>4.1.2 Nome, ruolo, valore · 3.3.2 Etichette o istruzioni</w:t>
            </w:r>
          </w:p>
        </w:tc>
      </w:tr>
      <w:tr>
        <w:tc>
          <w:tcPr>
            <w:tcW w:type="dxa" w:w="2880"/>
          </w:tcPr>
          <w:p>
            <w:r>
              <w:rPr>
                <w:sz w:val="17"/>
              </w:rPr>
            </w:r>
            <w:r>
              <w:rPr>
                <w:b/>
                <w:sz w:val="17"/>
              </w:rPr>
              <w:t>Tabelle</w:t>
            </w:r>
          </w:p>
        </w:tc>
        <w:tc>
          <w:tcPr>
            <w:tcW w:type="dxa" w:w="2880"/>
          </w:tcPr>
          <w:p>
            <w:r>
              <w:rPr>
                <w:sz w:val="17"/>
              </w:rPr>
            </w:r>
            <w:r>
              <w:rPr>
                <w:sz w:val="17"/>
              </w:rPr>
              <w:t>Tutte le intestazioni di colonna sono dichiarate e ogni tabella ha un titolo, così il lettore di schermo associa ogni valore alla sua colonna.</w:t>
            </w:r>
          </w:p>
        </w:tc>
        <w:tc>
          <w:tcPr>
            <w:tcW w:type="dxa" w:w="2880"/>
          </w:tcPr>
          <w:p>
            <w:r>
              <w:rPr>
                <w:sz w:val="17"/>
              </w:rPr>
            </w:r>
            <w:r>
              <w:rPr>
                <w:sz w:val="17"/>
              </w:rPr>
              <w:t>1.3.1 Informazioni e correlazioni</w:t>
            </w:r>
          </w:p>
        </w:tc>
      </w:tr>
      <w:tr>
        <w:tc>
          <w:tcPr>
            <w:tcW w:type="dxa" w:w="2880"/>
          </w:tcPr>
          <w:p>
            <w:r>
              <w:rPr>
                <w:sz w:val="17"/>
              </w:rPr>
            </w:r>
            <w:r>
              <w:rPr>
                <w:b/>
                <w:sz w:val="17"/>
              </w:rPr>
              <w:t>Schermi piccoli e zoom al 200%</w:t>
            </w:r>
          </w:p>
        </w:tc>
        <w:tc>
          <w:tcPr>
            <w:tcW w:type="dxa" w:w="2880"/>
          </w:tcPr>
          <w:p>
            <w:r>
              <w:rPr>
                <w:sz w:val="17"/>
              </w:rPr>
            </w:r>
            <w:r>
              <w:rPr>
                <w:sz w:val="17"/>
              </w:rPr>
              <w:t>Sotto i 1024 pixel di larghezza il menu laterale diventa un menu a scomparsa (pulsante «Menu» in alto a sinistra). Card, filtri e intestazioni vanno a capo: nessuno scorrimento orizzontale fino a 320 pixel, escluse le tabelle molto larghe che scorrono al loro interno.</w:t>
            </w:r>
          </w:p>
        </w:tc>
        <w:tc>
          <w:tcPr>
            <w:tcW w:type="dxa" w:w="2880"/>
          </w:tcPr>
          <w:p>
            <w:r>
              <w:rPr>
                <w:sz w:val="17"/>
              </w:rPr>
            </w:r>
            <w:r>
              <w:rPr>
                <w:sz w:val="17"/>
              </w:rPr>
              <w:t>1.4.10 Riflusso · 1.4.4 Ridimensionamento del testo</w:t>
            </w:r>
          </w:p>
        </w:tc>
      </w:tr>
      <w:tr>
        <w:tc>
          <w:tcPr>
            <w:tcW w:type="dxa" w:w="2880"/>
          </w:tcPr>
          <w:p>
            <w:r>
              <w:rPr>
                <w:sz w:val="17"/>
              </w:rPr>
            </w:r>
            <w:r>
              <w:rPr>
                <w:b/>
                <w:sz w:val="17"/>
              </w:rPr>
              <w:t>Leggibilità della Vista Sintetica</w:t>
            </w:r>
          </w:p>
        </w:tc>
        <w:tc>
          <w:tcPr>
            <w:tcW w:type="dxa" w:w="2880"/>
          </w:tcPr>
          <w:p>
            <w:r>
              <w:rPr>
                <w:sz w:val="17"/>
              </w:rPr>
            </w:r>
            <w:r>
              <w:rPr>
                <w:sz w:val="17"/>
              </w:rPr>
              <w:t>Le card non selezionate non vengono più «sbiadite» (il testo risultava poco leggibile): sono distinte da un leggero sfondo grigio.</w:t>
            </w:r>
          </w:p>
        </w:tc>
        <w:tc>
          <w:tcPr>
            <w:tcW w:type="dxa" w:w="2880"/>
          </w:tcPr>
          <w:p>
            <w:r>
              <w:rPr>
                <w:sz w:val="17"/>
              </w:rPr>
            </w:r>
            <w:r>
              <w:rPr>
                <w:sz w:val="17"/>
              </w:rPr>
              <w:t>1.4.3 Contrasto (minimo)</w:t>
            </w:r>
          </w:p>
        </w:tc>
      </w:tr>
    </w:tbl>
    <w:p/>
    <w:p>
      <w:pPr>
        <w:pStyle w:val="Heading3"/>
      </w:pPr>
      <w:r>
        <w:t>3.3 Fase 1-bis · Verifiche avanzate e criteri WCAG 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Intervento</w:t>
            </w:r>
          </w:p>
        </w:tc>
        <w:tc>
          <w:tcPr>
            <w:tcW w:type="dxa" w:w="2880"/>
          </w:tcPr>
          <w:p>
            <w:r>
              <w:rPr>
                <w:b/>
                <w:sz w:val="17"/>
              </w:rPr>
            </w:r>
            <w:r>
              <w:rPr>
                <w:b/>
                <w:sz w:val="17"/>
              </w:rPr>
              <w:t>Cosa cambia per l'utente</w:t>
            </w:r>
          </w:p>
        </w:tc>
        <w:tc>
          <w:tcPr>
            <w:tcW w:type="dxa" w:w="2880"/>
          </w:tcPr>
          <w:p>
            <w:r>
              <w:rPr>
                <w:b/>
                <w:sz w:val="17"/>
              </w:rPr>
            </w:r>
            <w:r>
              <w:rPr>
                <w:b/>
                <w:sz w:val="17"/>
              </w:rPr>
              <w:t>Criterio WCAG</w:t>
            </w:r>
          </w:p>
        </w:tc>
      </w:tr>
      <w:tr>
        <w:tc>
          <w:tcPr>
            <w:tcW w:type="dxa" w:w="2880"/>
          </w:tcPr>
          <w:p>
            <w:r>
              <w:rPr>
                <w:sz w:val="17"/>
              </w:rPr>
            </w:r>
            <w:r>
              <w:rPr>
                <w:b/>
                <w:sz w:val="17"/>
              </w:rPr>
              <w:t>Avviso di scadenza della sessione</w:t>
            </w:r>
          </w:p>
        </w:tc>
        <w:tc>
          <w:tcPr>
            <w:tcW w:type="dxa" w:w="2880"/>
          </w:tcPr>
          <w:p>
            <w:r>
              <w:rPr>
                <w:sz w:val="17"/>
              </w:rPr>
            </w:r>
            <w:r>
              <w:rPr>
                <w:sz w:val="17"/>
              </w:rPr>
              <w:t>Se l'utente sta lavorando, la sessione viene prolungata automaticamente. Se è inattivo, compare un avviso almeno 2 minuti prima della scadenza con il pulsante «Resta collegato» (o «Esci»). A sessione scaduta compare il pulsante «Accedi di nuovo», che riporta alla stessa pagina.</w:t>
            </w:r>
          </w:p>
        </w:tc>
        <w:tc>
          <w:tcPr>
            <w:tcW w:type="dxa" w:w="2880"/>
          </w:tcPr>
          <w:p>
            <w:r>
              <w:rPr>
                <w:sz w:val="17"/>
              </w:rPr>
            </w:r>
            <w:r>
              <w:rPr>
                <w:sz w:val="17"/>
              </w:rPr>
              <w:t>2.2.1 Regolazione dei tempi</w:t>
            </w:r>
          </w:p>
        </w:tc>
      </w:tr>
      <w:tr>
        <w:tc>
          <w:tcPr>
            <w:tcW w:type="dxa" w:w="2880"/>
          </w:tcPr>
          <w:p>
            <w:r>
              <w:rPr>
                <w:sz w:val="17"/>
              </w:rPr>
            </w:r>
            <w:r>
              <w:rPr>
                <w:b/>
                <w:sz w:val="17"/>
              </w:rPr>
              <w:t>Spaziatura del testo</w:t>
            </w:r>
          </w:p>
        </w:tc>
        <w:tc>
          <w:tcPr>
            <w:tcW w:type="dxa" w:w="2880"/>
          </w:tcPr>
          <w:p>
            <w:r>
              <w:rPr>
                <w:sz w:val="17"/>
              </w:rPr>
            </w:r>
            <w:r>
              <w:rPr>
                <w:sz w:val="17"/>
              </w:rPr>
              <w:t>Aumentando interlinea, spaziatura tra lettere, parole e paragrafi con gli strumenti dell'utente, nessun testo viene tagliato o sovrapposto (verificato su tutte le pagine).</w:t>
            </w:r>
          </w:p>
        </w:tc>
        <w:tc>
          <w:tcPr>
            <w:tcW w:type="dxa" w:w="2880"/>
          </w:tcPr>
          <w:p>
            <w:r>
              <w:rPr>
                <w:sz w:val="17"/>
              </w:rPr>
            </w:r>
            <w:r>
              <w:rPr>
                <w:sz w:val="17"/>
              </w:rPr>
              <w:t>1.4.12 Spaziatura del testo</w:t>
            </w:r>
          </w:p>
        </w:tc>
      </w:tr>
      <w:tr>
        <w:tc>
          <w:tcPr>
            <w:tcW w:type="dxa" w:w="2880"/>
          </w:tcPr>
          <w:p>
            <w:r>
              <w:rPr>
                <w:sz w:val="17"/>
              </w:rPr>
            </w:r>
            <w:r>
              <w:rPr>
                <w:b/>
                <w:sz w:val="17"/>
              </w:rPr>
              <w:t>Suggerimenti (tooltip)</w:t>
            </w:r>
          </w:p>
        </w:tc>
        <w:tc>
          <w:tcPr>
            <w:tcW w:type="dxa" w:w="2880"/>
          </w:tcPr>
          <w:p>
            <w:r>
              <w:rPr>
                <w:sz w:val="17"/>
              </w:rPr>
            </w:r>
            <w:r>
              <w:rPr>
                <w:sz w:val="17"/>
              </w:rPr>
              <w:t>I suggerimenti che compaiono al passaggio del mouse si aprono anche raggiungendo l'elemento da tastiera, restano visibili finché servono e si chiudono con Esc.</w:t>
            </w:r>
          </w:p>
        </w:tc>
        <w:tc>
          <w:tcPr>
            <w:tcW w:type="dxa" w:w="2880"/>
          </w:tcPr>
          <w:p>
            <w:r>
              <w:rPr>
                <w:sz w:val="17"/>
              </w:rPr>
            </w:r>
            <w:r>
              <w:rPr>
                <w:sz w:val="17"/>
              </w:rPr>
              <w:t>1.4.13 Contenuto con hover o focus</w:t>
            </w:r>
          </w:p>
        </w:tc>
      </w:tr>
      <w:tr>
        <w:tc>
          <w:tcPr>
            <w:tcW w:type="dxa" w:w="2880"/>
          </w:tcPr>
          <w:p>
            <w:r>
              <w:rPr>
                <w:sz w:val="17"/>
              </w:rPr>
            </w:r>
            <w:r>
              <w:rPr>
                <w:b/>
                <w:sz w:val="17"/>
              </w:rPr>
              <w:t>Riduzione del movimento</w:t>
            </w:r>
          </w:p>
        </w:tc>
        <w:tc>
          <w:tcPr>
            <w:tcW w:type="dxa" w:w="2880"/>
          </w:tcPr>
          <w:p>
            <w:r>
              <w:rPr>
                <w:sz w:val="17"/>
              </w:rPr>
            </w:r>
            <w:r>
              <w:rPr>
                <w:sz w:val="17"/>
              </w:rPr>
              <w:t>Se l'utente ha chiesto al sistema operativo di ridurre le animazioni, il Cruscotto elimina transizioni e animazioni, comprese quelle dei grafici e della guida iniziale.</w:t>
            </w:r>
          </w:p>
        </w:tc>
        <w:tc>
          <w:tcPr>
            <w:tcW w:type="dxa" w:w="2880"/>
          </w:tcPr>
          <w:p>
            <w:r>
              <w:rPr>
                <w:sz w:val="17"/>
              </w:rPr>
            </w:r>
            <w:r>
              <w:rPr>
                <w:sz w:val="17"/>
              </w:rPr>
              <w:t>2.3.3 Animazioni da interazioni</w:t>
            </w:r>
          </w:p>
        </w:tc>
      </w:tr>
      <w:tr>
        <w:tc>
          <w:tcPr>
            <w:tcW w:type="dxa" w:w="2880"/>
          </w:tcPr>
          <w:p>
            <w:r>
              <w:rPr>
                <w:sz w:val="17"/>
              </w:rPr>
            </w:r>
            <w:r>
              <w:rPr>
                <w:b/>
                <w:sz w:val="17"/>
              </w:rPr>
              <w:t>Guida iniziale</w:t>
            </w:r>
          </w:p>
        </w:tc>
        <w:tc>
          <w:tcPr>
            <w:tcW w:type="dxa" w:w="2880"/>
          </w:tcPr>
          <w:p>
            <w:r>
              <w:rPr>
                <w:sz w:val="17"/>
              </w:rPr>
            </w:r>
            <w:r>
              <w:rPr>
                <w:sz w:val="17"/>
              </w:rPr>
              <w:t>La guida si usa interamente da tastiera (frecce per avanzare e tornare, Esc per chiudere), il cursore resta all'interno del riquadro e il pulsante di chiusura ha un nome leggibile.</w:t>
            </w:r>
          </w:p>
        </w:tc>
        <w:tc>
          <w:tcPr>
            <w:tcW w:type="dxa" w:w="2880"/>
          </w:tcPr>
          <w:p>
            <w:r>
              <w:rPr>
                <w:sz w:val="17"/>
              </w:rPr>
            </w:r>
            <w:r>
              <w:rPr>
                <w:sz w:val="17"/>
              </w:rPr>
              <w:t>2.1.1 Tastiera · 2.1.2 Nessun impedimento · 4.1.2 Nome, ruolo, valore</w:t>
            </w:r>
          </w:p>
        </w:tc>
      </w:tr>
      <w:tr>
        <w:tc>
          <w:tcPr>
            <w:tcW w:type="dxa" w:w="2880"/>
          </w:tcPr>
          <w:p>
            <w:r>
              <w:rPr>
                <w:sz w:val="17"/>
              </w:rPr>
            </w:r>
            <w:r>
              <w:rPr>
                <w:b/>
                <w:sz w:val="17"/>
              </w:rPr>
              <w:t>Focus non coperto</w:t>
            </w:r>
          </w:p>
        </w:tc>
        <w:tc>
          <w:tcPr>
            <w:tcW w:type="dxa" w:w="2880"/>
          </w:tcPr>
          <w:p>
            <w:r>
              <w:rPr>
                <w:sz w:val="17"/>
              </w:rPr>
            </w:r>
            <w:r>
              <w:rPr>
                <w:sz w:val="17"/>
              </w:rPr>
              <w:t>Scorrendo la pagina con il tasto Tab, l'elemento selezionato non resta mai nascosto sotto l'intestazione fissa.</w:t>
            </w:r>
          </w:p>
        </w:tc>
        <w:tc>
          <w:tcPr>
            <w:tcW w:type="dxa" w:w="2880"/>
          </w:tcPr>
          <w:p>
            <w:r>
              <w:rPr>
                <w:sz w:val="17"/>
              </w:rPr>
            </w:r>
            <w:r>
              <w:rPr>
                <w:sz w:val="17"/>
              </w:rPr>
              <w:t>2.4.11 Focus non oscurato (WCAG 2.2)</w:t>
            </w:r>
          </w:p>
        </w:tc>
      </w:tr>
      <w:tr>
        <w:tc>
          <w:tcPr>
            <w:tcW w:type="dxa" w:w="2880"/>
          </w:tcPr>
          <w:p>
            <w:r>
              <w:rPr>
                <w:sz w:val="17"/>
              </w:rPr>
            </w:r>
            <w:r>
              <w:rPr>
                <w:b/>
                <w:sz w:val="17"/>
              </w:rPr>
              <w:t>Dimensione dei pulsanti</w:t>
            </w:r>
          </w:p>
        </w:tc>
        <w:tc>
          <w:tcPr>
            <w:tcW w:type="dxa" w:w="2880"/>
          </w:tcPr>
          <w:p>
            <w:r>
              <w:rPr>
                <w:sz w:val="17"/>
              </w:rPr>
            </w:r>
            <w:r>
              <w:rPr>
                <w:sz w:val="17"/>
              </w:rPr>
              <w:t>Tutti i pulsanti e i controlli rispettano la dimensione minima di 24×24 pixel o la distanza minima dagli altri controlli.</w:t>
            </w:r>
          </w:p>
        </w:tc>
        <w:tc>
          <w:tcPr>
            <w:tcW w:type="dxa" w:w="2880"/>
          </w:tcPr>
          <w:p>
            <w:r>
              <w:rPr>
                <w:sz w:val="17"/>
              </w:rPr>
            </w:r>
            <w:r>
              <w:rPr>
                <w:sz w:val="17"/>
              </w:rPr>
              <w:t>2.5.8 Dimensione minima dell'obiettivo (WCAG 2.2)</w:t>
            </w:r>
          </w:p>
        </w:tc>
      </w:tr>
      <w:tr>
        <w:tc>
          <w:tcPr>
            <w:tcW w:type="dxa" w:w="2880"/>
          </w:tcPr>
          <w:p>
            <w:r>
              <w:rPr>
                <w:sz w:val="17"/>
              </w:rPr>
            </w:r>
            <w:r>
              <w:rPr>
                <w:b/>
                <w:sz w:val="17"/>
              </w:rPr>
              <w:t>Aiuto coerente</w:t>
            </w:r>
          </w:p>
        </w:tc>
        <w:tc>
          <w:tcPr>
            <w:tcW w:type="dxa" w:w="2880"/>
          </w:tcPr>
          <w:p>
            <w:r>
              <w:rPr>
                <w:sz w:val="17"/>
              </w:rPr>
            </w:r>
            <w:r>
              <w:rPr>
                <w:sz w:val="17"/>
              </w:rPr>
              <w:t>Guida e Glossario sono sempre nella stessa posizione del menu.</w:t>
            </w:r>
          </w:p>
        </w:tc>
        <w:tc>
          <w:tcPr>
            <w:tcW w:type="dxa" w:w="2880"/>
          </w:tcPr>
          <w:p>
            <w:r>
              <w:rPr>
                <w:sz w:val="17"/>
              </w:rPr>
            </w:r>
            <w:r>
              <w:rPr>
                <w:sz w:val="17"/>
              </w:rPr>
              <w:t>3.2.6 Aiuto coerente (WCAG 2.2)</w:t>
            </w:r>
          </w:p>
        </w:tc>
      </w:tr>
      <w:tr>
        <w:tc>
          <w:tcPr>
            <w:tcW w:type="dxa" w:w="2880"/>
          </w:tcPr>
          <w:p>
            <w:r>
              <w:rPr>
                <w:sz w:val="17"/>
              </w:rPr>
            </w:r>
            <w:r>
              <w:rPr>
                <w:b/>
                <w:sz w:val="17"/>
              </w:rPr>
              <w:t>Lingua dei termini inglesi</w:t>
            </w:r>
          </w:p>
        </w:tc>
        <w:tc>
          <w:tcPr>
            <w:tcW w:type="dxa" w:w="2880"/>
          </w:tcPr>
          <w:p>
            <w:r>
              <w:rPr>
                <w:sz w:val="17"/>
              </w:rPr>
            </w:r>
            <w:r>
              <w:rPr>
                <w:sz w:val="17"/>
              </w:rPr>
              <w:t>Il termine «Executive» (titoli, menu, percorso) e l'etichetta «Mock-up» sono indicati come inglesi, così il lettore di schermo li pronuncia correttamente. I termini tecnici entrati nell'uso comune (es. benchmark, turnover, score, KPI) restano in italiano, come consentito dalle WCAG.</w:t>
            </w:r>
          </w:p>
        </w:tc>
        <w:tc>
          <w:tcPr>
            <w:tcW w:type="dxa" w:w="2880"/>
          </w:tcPr>
          <w:p>
            <w:r>
              <w:rPr>
                <w:sz w:val="17"/>
              </w:rPr>
            </w:r>
            <w:r>
              <w:rPr>
                <w:sz w:val="17"/>
              </w:rPr>
              <w:t>3.1.2 Parti in lingua</w:t>
            </w:r>
          </w:p>
        </w:tc>
      </w:tr>
      <w:tr>
        <w:tc>
          <w:tcPr>
            <w:tcW w:type="dxa" w:w="2880"/>
          </w:tcPr>
          <w:p>
            <w:r>
              <w:rPr>
                <w:sz w:val="17"/>
              </w:rPr>
            </w:r>
            <w:r>
              <w:rPr>
                <w:b/>
                <w:sz w:val="17"/>
              </w:rPr>
              <w:t>File esportati</w:t>
            </w:r>
          </w:p>
        </w:tc>
        <w:tc>
          <w:tcPr>
            <w:tcW w:type="dxa" w:w="2880"/>
          </w:tcPr>
          <w:p>
            <w:r>
              <w:rPr>
                <w:sz w:val="17"/>
              </w:rPr>
            </w:r>
            <w:r>
              <w:rPr>
                <w:sz w:val="17"/>
              </w:rPr>
              <w:t>I file Excel riportano titolo e autore; i PDF riportano titolo, argomento, autore e lingua italiana, e il lettore PDF mostra il titolo del documento. Nel menu di esportazione Excel e PDF sono entrambi indicati come «accessibile» (PDF/UA, vedi 3.4-bis).</w:t>
            </w:r>
          </w:p>
        </w:tc>
        <w:tc>
          <w:tcPr>
            <w:tcW w:type="dxa" w:w="2880"/>
          </w:tcPr>
          <w:p>
            <w:r>
              <w:rPr>
                <w:sz w:val="17"/>
              </w:rPr>
            </w:r>
            <w:r>
              <w:rPr>
                <w:sz w:val="17"/>
              </w:rPr>
              <w:t>EN 301 549 cap. 10 (documenti)</w:t>
            </w:r>
          </w:p>
        </w:tc>
      </w:tr>
    </w:tbl>
    <w:p/>
    <w:p>
      <w:pPr>
        <w:pStyle w:val="Heading3"/>
      </w:pPr>
      <w:r>
        <w:t>3.4 Fase 3 · Tabelle dei grafici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Intervento</w:t>
            </w:r>
          </w:p>
        </w:tc>
        <w:tc>
          <w:tcPr>
            <w:tcW w:type="dxa" w:w="2880"/>
          </w:tcPr>
          <w:p>
            <w:r>
              <w:rPr>
                <w:b/>
                <w:sz w:val="17"/>
              </w:rPr>
            </w:r>
            <w:r>
              <w:rPr>
                <w:b/>
                <w:sz w:val="17"/>
              </w:rPr>
              <w:t>Cosa vede l'utente</w:t>
            </w:r>
          </w:p>
        </w:tc>
        <w:tc>
          <w:tcPr>
            <w:tcW w:type="dxa" w:w="2880"/>
          </w:tcPr>
          <w:p>
            <w:r>
              <w:rPr>
                <w:b/>
                <w:sz w:val="17"/>
              </w:rPr>
            </w:r>
            <w:r>
              <w:rPr>
                <w:b/>
                <w:sz w:val="17"/>
              </w:rPr>
              <w:t>Criterio WCAG</w:t>
            </w:r>
          </w:p>
        </w:tc>
      </w:tr>
      <w:tr>
        <w:tc>
          <w:tcPr>
            <w:tcW w:type="dxa" w:w="2880"/>
          </w:tcPr>
          <w:p>
            <w:r>
              <w:rPr>
                <w:sz w:val="17"/>
              </w:rPr>
            </w:r>
            <w:r>
              <w:rPr>
                <w:b/>
                <w:sz w:val="17"/>
              </w:rPr>
              <w:t>Pulsante «Visualizza in tabella»</w:t>
            </w:r>
          </w:p>
        </w:tc>
        <w:tc>
          <w:tcPr>
            <w:tcW w:type="dxa" w:w="2880"/>
          </w:tcPr>
          <w:p>
            <w:r>
              <w:rPr>
                <w:sz w:val="17"/>
              </w:rPr>
            </w:r>
            <w:r>
              <w:rPr>
                <w:sz w:val="17"/>
              </w:rPr>
              <w:t>Sopra ogni grafico (circa 120, in tutte le schede) c'è il pulsante «Visualizza in tabella». Si raggiunge con il tasto Tab e si apre con Invio o Spazio; funziona anche con il mouse. Il nome letto dal lettore di schermo include il titolo del grafico (es. «Visualizza in tabella (Personale per genere)»).</w:t>
            </w:r>
          </w:p>
        </w:tc>
        <w:tc>
          <w:tcPr>
            <w:tcW w:type="dxa" w:w="2880"/>
          </w:tcPr>
          <w:p>
            <w:r>
              <w:rPr>
                <w:sz w:val="17"/>
              </w:rPr>
            </w:r>
            <w:r>
              <w:rPr>
                <w:sz w:val="17"/>
              </w:rPr>
              <w:t>1.1.1 Contenuti non testuali · 2.1.1 Tastiera · 2.5.3 Etichetta nel nome</w:t>
            </w:r>
          </w:p>
        </w:tc>
      </w:tr>
      <w:tr>
        <w:tc>
          <w:tcPr>
            <w:tcW w:type="dxa" w:w="2880"/>
          </w:tcPr>
          <w:p>
            <w:r>
              <w:rPr>
                <w:sz w:val="17"/>
              </w:rPr>
            </w:r>
            <w:r>
              <w:rPr>
                <w:b/>
                <w:sz w:val="17"/>
              </w:rPr>
              <w:t>Finestra con la tabella</w:t>
            </w:r>
          </w:p>
        </w:tc>
        <w:tc>
          <w:tcPr>
            <w:tcW w:type="dxa" w:w="2880"/>
          </w:tcPr>
          <w:p>
            <w:r>
              <w:rPr>
                <w:sz w:val="17"/>
              </w:rPr>
            </w:r>
            <w:r>
              <w:rPr>
                <w:sz w:val="17"/>
              </w:rPr>
              <w:t>La tabella si apre in una finestra con il titolo del grafico, il numero di righe, le intestazioni di colonna e di riga. Il focus resta nella finestra finché è aperta; si chiude con Esc o con «Chiudi» e il focus torna sul pulsante. La tabella lunga scorre ed è raggiungibile da tastiera.</w:t>
            </w:r>
          </w:p>
        </w:tc>
        <w:tc>
          <w:tcPr>
            <w:tcW w:type="dxa" w:w="2880"/>
          </w:tcPr>
          <w:p>
            <w:r>
              <w:rPr>
                <w:sz w:val="17"/>
              </w:rPr>
            </w:r>
            <w:r>
              <w:rPr>
                <w:sz w:val="17"/>
              </w:rPr>
              <w:t>1.3.1 Informazioni e correlazioni · 2.4.3 Ordine del focus · 2.1.2 Nessun impedimento all'uso della tastiera</w:t>
            </w:r>
          </w:p>
        </w:tc>
      </w:tr>
      <w:tr>
        <w:tc>
          <w:tcPr>
            <w:tcW w:type="dxa" w:w="2880"/>
          </w:tcPr>
          <w:p>
            <w:r>
              <w:rPr>
                <w:sz w:val="17"/>
              </w:rPr>
            </w:r>
            <w:r>
              <w:rPr>
                <w:b/>
                <w:sz w:val="17"/>
              </w:rPr>
              <w:t>Dati sempre allineati al grafico</w:t>
            </w:r>
          </w:p>
        </w:tc>
        <w:tc>
          <w:tcPr>
            <w:tcW w:type="dxa" w:w="2880"/>
          </w:tcPr>
          <w:p>
            <w:r>
              <w:rPr>
                <w:sz w:val="17"/>
              </w:rPr>
            </w:r>
            <w:r>
              <w:rPr>
                <w:sz w:val="17"/>
              </w:rPr>
              <w:t>La tabella è costruita automaticamente dagli stessi dati che disegnano il grafico (serie, categorie, fette delle torte con valore e quota), con numeri in formato italiano: non può essere diversa da quanto mostrato.</w:t>
            </w:r>
          </w:p>
        </w:tc>
        <w:tc>
          <w:tcPr>
            <w:tcW w:type="dxa" w:w="2880"/>
          </w:tcPr>
          <w:p>
            <w:r>
              <w:rPr>
                <w:sz w:val="17"/>
              </w:rPr>
            </w:r>
            <w:r>
              <w:rPr>
                <w:sz w:val="17"/>
              </w:rPr>
              <w:t>1.3.1</w:t>
            </w:r>
          </w:p>
        </w:tc>
      </w:tr>
      <w:tr>
        <w:tc>
          <w:tcPr>
            <w:tcW w:type="dxa" w:w="2880"/>
          </w:tcPr>
          <w:p>
            <w:r>
              <w:rPr>
                <w:sz w:val="17"/>
              </w:rPr>
            </w:r>
            <w:r>
              <w:rPr>
                <w:b/>
                <w:sz w:val="17"/>
              </w:rPr>
              <w:t>Grafico descritto</w:t>
            </w:r>
          </w:p>
        </w:tc>
        <w:tc>
          <w:tcPr>
            <w:tcW w:type="dxa" w:w="2880"/>
          </w:tcPr>
          <w:p>
            <w:r>
              <w:rPr>
                <w:sz w:val="17"/>
              </w:rPr>
            </w:r>
            <w:r>
              <w:rPr>
                <w:sz w:val="17"/>
              </w:rPr>
              <w:t>Il grafico è annunciato come immagine con il suo titolo e l'indicazione che i dati sono disponibili in tabella. Gli indicatori a lancetta, il cui valore è già scritto accanto, sono ignorati dal lettore di schermo.</w:t>
            </w:r>
          </w:p>
        </w:tc>
        <w:tc>
          <w:tcPr>
            <w:tcW w:type="dxa" w:w="2880"/>
          </w:tcPr>
          <w:p>
            <w:r>
              <w:rPr>
                <w:sz w:val="17"/>
              </w:rPr>
            </w:r>
            <w:r>
              <w:rPr>
                <w:sz w:val="17"/>
              </w:rPr>
              <w:t>1.1.1</w:t>
            </w:r>
          </w:p>
        </w:tc>
      </w:tr>
      <w:tr>
        <w:tc>
          <w:tcPr>
            <w:tcW w:type="dxa" w:w="2880"/>
          </w:tcPr>
          <w:p>
            <w:r>
              <w:rPr>
                <w:sz w:val="17"/>
              </w:rPr>
            </w:r>
            <w:r>
              <w:rPr>
                <w:b/>
                <w:sz w:val="17"/>
              </w:rPr>
              <w:t>Regola permanente</w:t>
            </w:r>
          </w:p>
        </w:tc>
        <w:tc>
          <w:tcPr>
            <w:tcW w:type="dxa" w:w="2880"/>
          </w:tcPr>
          <w:p>
            <w:r>
              <w:rPr>
                <w:sz w:val="17"/>
              </w:rPr>
            </w:r>
            <w:r>
              <w:rPr>
                <w:sz w:val="17"/>
              </w:rPr>
              <w:t>Il controllo del codice impedisce di aggiungere nuovi grafici senza il pulsante della tabella.</w:t>
            </w:r>
          </w:p>
        </w:tc>
        <w:tc>
          <w:tcPr>
            <w:tcW w:type="dxa" w:w="2880"/>
          </w:tcPr>
          <w:p>
            <w:r>
              <w:rPr>
                <w:sz w:val="17"/>
              </w:rPr>
            </w:r>
            <w:r>
              <w:rPr>
                <w:sz w:val="17"/>
              </w:rPr>
              <w:t>—</w:t>
            </w:r>
          </w:p>
        </w:tc>
      </w:tr>
      <w:tr>
        <w:tc>
          <w:tcPr>
            <w:tcW w:type="dxa" w:w="2880"/>
          </w:tcPr>
          <w:p>
            <w:r>
              <w:rPr>
                <w:sz w:val="17"/>
              </w:rPr>
            </w:r>
            <w:r>
              <w:rPr>
                <w:b/>
                <w:sz w:val="17"/>
              </w:rPr>
              <w:t>Testi in italiano</w:t>
            </w:r>
          </w:p>
        </w:tc>
        <w:tc>
          <w:tcPr>
            <w:tcW w:type="dxa" w:w="2880"/>
          </w:tcPr>
          <w:p>
            <w:r>
              <w:rPr>
                <w:sz w:val="17"/>
              </w:rPr>
            </w:r>
            <w:r>
              <w:rPr>
                <w:sz w:val="17"/>
              </w:rPr>
              <w:t>Il pulsante di chiusura delle finestre e gli altri testi nascosti per i lettori di schermo («Chiudi», «Altre pagine», «Slide precedente»…) sono ora in italiano.</w:t>
            </w:r>
          </w:p>
        </w:tc>
        <w:tc>
          <w:tcPr>
            <w:tcW w:type="dxa" w:w="2880"/>
          </w:tcPr>
          <w:p>
            <w:r>
              <w:rPr>
                <w:sz w:val="17"/>
              </w:rPr>
            </w:r>
            <w:r>
              <w:rPr>
                <w:sz w:val="17"/>
              </w:rPr>
              <w:t>3.1.1 Lingua della pagina</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Scarica in Excel</w:t>
            </w:r>
          </w:p>
        </w:tc>
        <w:tc>
          <w:tcPr>
            <w:tcW w:type="dxa" w:w="2880"/>
          </w:tcPr>
          <w:p>
            <w:r>
              <w:rPr>
                <w:b/>
                <w:sz w:val="17"/>
              </w:rPr>
            </w:r>
            <w:r>
              <w:rPr>
                <w:b/>
                <w:sz w:val="17"/>
              </w:rPr>
              <w:t>Nella finestra della tabella il pulsante «Scarica in Excel» salva i dati del grafico in un file Excel con titolo e intestazioni (numeri non arrotondati). L'esito del download viene annunciato al lettore di schermo.</w:t>
            </w:r>
          </w:p>
        </w:tc>
        <w:tc>
          <w:tcPr>
            <w:tcW w:type="dxa" w:w="2880"/>
          </w:tcPr>
          <w:p>
            <w:r>
              <w:rPr>
                <w:b/>
                <w:sz w:val="17"/>
              </w:rPr>
            </w:r>
            <w:r>
              <w:rPr>
                <w:b/>
                <w:sz w:val="17"/>
              </w:rPr>
              <w:t>EN 301 549 cap. 10 · 4.1.3 Messaggi di stato</w:t>
            </w:r>
          </w:p>
        </w:tc>
      </w:tr>
      <w:tr>
        <w:tc>
          <w:tcPr>
            <w:tcW w:type="dxa" w:w="2880"/>
          </w:tcPr>
          <w:p>
            <w:r>
              <w:rPr>
                <w:sz w:val="17"/>
              </w:rPr>
            </w:r>
            <w:r>
              <w:rPr>
                <w:b/>
                <w:sz w:val="17"/>
              </w:rPr>
              <w:t>Contrasto di barre, linee e fette</w:t>
            </w:r>
          </w:p>
        </w:tc>
        <w:tc>
          <w:tcPr>
            <w:tcW w:type="dxa" w:w="2880"/>
          </w:tcPr>
          <w:p>
            <w:r>
              <w:rPr>
                <w:sz w:val="17"/>
              </w:rPr>
            </w:r>
            <w:r>
              <w:rPr>
                <w:sz w:val="17"/>
              </w:rPr>
              <w:t>I colori dei dati con contrasto inferiore a 3:1 rispetto allo sfondo (arancio, giallo, ocra, verde acqua, grigi delle serie di confronto) sono stati scuriti mantenendo la stessa tonalità, fino a raggiungere almeno 3:1. Verificati tutti i colori usati nei grafici.</w:t>
            </w:r>
          </w:p>
        </w:tc>
        <w:tc>
          <w:tcPr>
            <w:tcW w:type="dxa" w:w="2880"/>
          </w:tcPr>
          <w:p>
            <w:r>
              <w:rPr>
                <w:sz w:val="17"/>
              </w:rPr>
            </w:r>
            <w:r>
              <w:rPr>
                <w:sz w:val="17"/>
              </w:rPr>
              <w:t>1.4.11 Contrasto non testuale</w:t>
            </w:r>
          </w:p>
        </w:tc>
      </w:tr>
      <w:tr>
        <w:tc>
          <w:tcPr>
            <w:tcW w:type="dxa" w:w="2880"/>
          </w:tcPr>
          <w:p>
            <w:r>
              <w:rPr>
                <w:sz w:val="17"/>
              </w:rPr>
            </w:r>
            <w:r>
              <w:rPr>
                <w:b/>
                <w:sz w:val="17"/>
              </w:rPr>
              <w:t>Testi più leggibili</w:t>
            </w:r>
          </w:p>
        </w:tc>
        <w:tc>
          <w:tcPr>
            <w:tcW w:type="dxa" w:w="2880"/>
          </w:tcPr>
          <w:p>
            <w:r>
              <w:rPr>
                <w:sz w:val="17"/>
              </w:rPr>
            </w:r>
            <w:r>
              <w:rPr>
                <w:sz w:val="17"/>
              </w:rPr>
              <w:t>Il piè del menu laterale passa da 10 a 12 pixel; la nota della pagina di accesso non è più schiarita.</w:t>
            </w:r>
          </w:p>
        </w:tc>
        <w:tc>
          <w:tcPr>
            <w:tcW w:type="dxa" w:w="2880"/>
          </w:tcPr>
          <w:p>
            <w:r>
              <w:rPr>
                <w:sz w:val="17"/>
              </w:rPr>
            </w:r>
            <w:r>
              <w:rPr>
                <w:sz w:val="17"/>
              </w:rPr>
              <w:t>1.4.3 Contrasto (minimo)</w:t>
            </w:r>
          </w:p>
        </w:tc>
      </w:tr>
    </w:tbl>
    <w:p/>
    <w:p>
      <w:r>
        <w:t>Il pulsante non compare nella stampa della pagina.</w:t>
      </w:r>
    </w:p>
    <w:p>
      <w:pPr>
        <w:pStyle w:val="Heading3"/>
      </w:pPr>
      <w:r>
        <w:t>3.4-bis PDF accessibili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Intervento</w:t>
            </w:r>
          </w:p>
        </w:tc>
        <w:tc>
          <w:tcPr>
            <w:tcW w:type="dxa" w:w="2880"/>
          </w:tcPr>
          <w:p>
            <w:r>
              <w:rPr>
                <w:b/>
                <w:sz w:val="17"/>
              </w:rPr>
            </w:r>
            <w:r>
              <w:rPr>
                <w:b/>
                <w:sz w:val="17"/>
              </w:rPr>
              <w:t>Cosa vede l'utente</w:t>
            </w:r>
          </w:p>
        </w:tc>
        <w:tc>
          <w:tcPr>
            <w:tcW w:type="dxa" w:w="2880"/>
          </w:tcPr>
          <w:p>
            <w:r>
              <w:rPr>
                <w:b/>
                <w:sz w:val="17"/>
              </w:rPr>
            </w:r>
            <w:r>
              <w:rPr>
                <w:b/>
                <w:sz w:val="17"/>
              </w:rPr>
              <w:t>Riferimento</w:t>
            </w:r>
          </w:p>
        </w:tc>
      </w:tr>
      <w:tr>
        <w:tc>
          <w:tcPr>
            <w:tcW w:type="dxa" w:w="2880"/>
          </w:tcPr>
          <w:p>
            <w:r>
              <w:rPr>
                <w:sz w:val="17"/>
              </w:rPr>
            </w:r>
            <w:r>
              <w:rPr>
                <w:b/>
                <w:sz w:val="17"/>
              </w:rPr>
              <w:t>PDF «taggati» (PDF/UA)</w:t>
            </w:r>
          </w:p>
        </w:tc>
        <w:tc>
          <w:tcPr>
            <w:tcW w:type="dxa" w:w="2880"/>
          </w:tcPr>
          <w:p>
            <w:r>
              <w:rPr>
                <w:sz w:val="17"/>
              </w:rPr>
            </w:r>
            <w:r>
              <w:rPr>
                <w:sz w:val="17"/>
              </w:rPr>
              <w:t>La voce «PDF · accessibile» del menu di esportazione produce un PDF che il lettore di schermo legge come documento strutturato: titolo e sottotitolo come intestazioni, tabella con intestazioni di colonna (e di riga, quando la prima colonna contiene etichette), ordine di lettura corretto anche su più pagine. Lingua italiana, titolo del documento mostrato dal lettore PDF, font del Cruscotto incorporato. Aspetto invariato rispetto a prima.</w:t>
            </w:r>
          </w:p>
        </w:tc>
        <w:tc>
          <w:tcPr>
            <w:tcW w:type="dxa" w:w="2880"/>
          </w:tcPr>
          <w:p>
            <w:r>
              <w:rPr>
                <w:sz w:val="17"/>
              </w:rPr>
            </w:r>
            <w:r>
              <w:rPr>
                <w:sz w:val="17"/>
              </w:rPr>
              <w:t>EN 301 549 cap. 10 · ISO 14289 (PDF/UA) · WCAG 1.3.1, 2.4.2, 3.1.1</w:t>
            </w:r>
          </w:p>
        </w:tc>
      </w:tr>
      <w:tr>
        <w:tc>
          <w:tcPr>
            <w:tcW w:type="dxa" w:w="2880"/>
          </w:tcPr>
          <w:p>
            <w:r>
              <w:rPr>
                <w:sz w:val="17"/>
              </w:rPr>
            </w:r>
            <w:r>
              <w:rPr>
                <w:b/>
                <w:sz w:val="17"/>
              </w:rPr>
              <w:t>Verifica automatica</w:t>
            </w:r>
          </w:p>
        </w:tc>
        <w:tc>
          <w:tcPr>
            <w:tcW w:type="dxa" w:w="2880"/>
          </w:tcPr>
          <w:p>
            <w:r>
              <w:rPr>
                <w:sz w:val="17"/>
              </w:rPr>
            </w:r>
            <w:r>
              <w:rPr>
                <w:sz w:val="17"/>
              </w:rPr>
              <w:t>Ogni PDF di prova è controllato con i test automatici e con uno script di verifica dedicato (struttura, lingua, titolo, font incorporati, contenuto marcato, identificativo PDF/UA).</w:t>
            </w:r>
          </w:p>
        </w:tc>
        <w:tc>
          <w:tcPr>
            <w:tcW w:type="dxa" w:w="2880"/>
          </w:tcPr>
          <w:p>
            <w:r>
              <w:rPr>
                <w:sz w:val="17"/>
              </w:rPr>
            </w:r>
            <w:r>
              <w:rPr>
                <w:sz w:val="17"/>
              </w:rPr>
              <w:t>—</w:t>
            </w:r>
          </w:p>
        </w:tc>
      </w:tr>
    </w:tbl>
    <w:p/>
    <w:p>
      <w:pPr>
        <w:pStyle w:val="Heading3"/>
      </w:pPr>
      <w:r>
        <w:t>3.5 Fase 2 · Predisposizione degli adempimenti</w:t>
      </w:r>
    </w:p>
    <w:p>
      <w:pPr>
        <w:pStyle w:val="ListBullet"/>
      </w:pPr>
      <w:r>
        <w:rPr>
          <w:b/>
        </w:rPr>
        <w:t>Bozza della Dichiarazione di Accessibilità</w:t>
      </w:r>
      <w:r>
        <w:t xml:space="preserve"> secondo il modello AgID: </w:t>
      </w:r>
      <w:r>
        <w:rPr>
          <w:rFonts w:ascii="Consolas" w:hAnsi="Consolas"/>
          <w:color w:val="1F4E79"/>
        </w:rPr>
        <w:t>Dichiarazione-Accessibilita-BOZZA.md</w:t>
      </w:r>
      <w:r>
        <w:t>, con i campi da compilare a cura dell'amministrazione.</w:t>
      </w:r>
    </w:p>
    <w:p>
      <w:pPr>
        <w:pStyle w:val="ListBullet"/>
      </w:pPr>
      <w:r>
        <w:rPr>
          <w:b/>
        </w:rPr>
        <w:t>Link già pronti</w:t>
      </w:r>
      <w:r>
        <w:t xml:space="preserve"> in posizione costante (pagina di accesso, piè del menu laterale, Bussola): «Dichiarazione di accessibilità» e «Segnala un problema di accessibilità». Si attivano impostando </w:t>
      </w:r>
      <w:r>
        <w:rPr>
          <w:rFonts w:ascii="Consolas" w:hAnsi="Consolas"/>
          <w:color w:val="1F4E79"/>
        </w:rPr>
        <w:t>VITE_A11Y_STATEMENT_URL</w:t>
      </w:r>
      <w:r>
        <w:t xml:space="preserve"> e </w:t>
      </w:r>
      <w:r>
        <w:rPr>
          <w:rFonts w:ascii="Consolas" w:hAnsi="Consolas"/>
          <w:color w:val="1F4E79"/>
        </w:rPr>
        <w:t>VITE_A11Y_FEEDBACK_EMAIL</w:t>
      </w:r>
      <w:r>
        <w:t>, senza modificare il codice; sono accettati solo link https e indirizzi email semplici.</w:t>
      </w:r>
    </w:p>
    <w:p>
      <w:pPr>
        <w:pStyle w:val="Heading3"/>
      </w:pPr>
      <w:r>
        <w:t>3.6 Cosa resta invariato</w:t>
      </w:r>
    </w:p>
    <w:p>
      <w:pPr>
        <w:pStyle w:val="ListBullet"/>
      </w:pPr>
      <w:r>
        <w:t xml:space="preserve">La </w:t>
      </w:r>
      <w:r>
        <w:rPr>
          <w:b/>
        </w:rPr>
        <w:t>grafica complessiva</w:t>
      </w:r>
      <w:r>
        <w:t xml:space="preserve"> del Cruscotto (colori istituzionali, font Titillium Web, impaginazione su schermo grande) resta quella attuale: le modifiche ai colori sono leggere scuriture delle stesse tonalità.</w:t>
      </w:r>
    </w:p>
    <w:p>
      <w:pPr>
        <w:pStyle w:val="ListBullet"/>
      </w:pPr>
      <w:r>
        <w:rPr>
          <w:b/>
        </w:rPr>
        <w:t>Funzionalità e dati</w:t>
      </w:r>
      <w:r>
        <w:t xml:space="preserve"> non cambiano.</w:t>
      </w:r>
    </w:p>
    <w:p>
      <w:pPr>
        <w:pStyle w:val="Heading2"/>
      </w:pPr>
      <w:r>
        <w:t>4. Attività in programma</w:t>
      </w:r>
    </w:p>
    <w:p>
      <w:pPr>
        <w:pStyle w:val="Heading3"/>
      </w:pPr>
      <w:r>
        <w:t>Fase 2 · Adempimenti (in attesa di informazioni)</w:t>
      </w:r>
    </w:p>
    <w:p>
      <w:pPr>
        <w:pStyle w:val="ListBullet"/>
      </w:pPr>
      <w:r>
        <w:rPr>
          <w:b/>
        </w:rPr>
        <w:t>Dichiarazione di Accessibilità</w:t>
      </w:r>
      <w:r>
        <w:t xml:space="preserve"> secondo il modello AgID, raggiungibile dal piè di pagina.</w:t>
      </w:r>
    </w:p>
    <w:p>
      <w:pPr>
        <w:pStyle w:val="ListBullet"/>
      </w:pPr>
      <w:r>
        <w:rPr>
          <w:b/>
        </w:rPr>
        <w:t>Meccanismo di feedback</w:t>
      </w:r>
      <w:r>
        <w:t>: modalità con cui gli utenti possono segnalare problemi di accessibilità.</w:t>
      </w:r>
    </w:p>
    <w:p>
      <w:r>
        <w:rPr>
          <w:b/>
        </w:rPr>
        <w:t>Informazioni richieste al committente:</w:t>
      </w:r>
    </w:p>
    <w:p>
      <w:pPr>
        <w:pStyle w:val="ListNumber"/>
      </w:pPr>
      <w:r>
        <w:t>Denominazione dell'</w:t>
      </w:r>
      <w:r>
        <w:rPr>
          <w:b/>
        </w:rPr>
        <w:t>amministrazione responsabile</w:t>
      </w:r>
      <w:r>
        <w:t xml:space="preserve"> del servizio.</w:t>
      </w:r>
    </w:p>
    <w:p>
      <w:pPr>
        <w:pStyle w:val="ListNumber"/>
      </w:pPr>
      <w:r>
        <w:rPr>
          <w:b/>
        </w:rPr>
        <w:t>Indirizzo email</w:t>
      </w:r>
      <w:r>
        <w:t xml:space="preserve"> (o modulo web) per le segnalazioni sull'accessibilità.</w:t>
      </w:r>
    </w:p>
    <w:p>
      <w:pPr>
        <w:pStyle w:val="ListNumber"/>
      </w:pPr>
      <w:r>
        <w:t xml:space="preserve">Indicazione se il Cruscotto è un </w:t>
      </w:r>
      <w:r>
        <w:rPr>
          <w:b/>
        </w:rPr>
        <w:t>servizio rivolto al pubblico</w:t>
      </w:r>
      <w:r>
        <w:t xml:space="preserve"> o uno </w:t>
      </w:r>
      <w:r>
        <w:rPr>
          <w:b/>
        </w:rPr>
        <w:t>strumento interno</w:t>
      </w:r>
      <w:r>
        <w:t xml:space="preserve"> per operatori della PA. Nel primo caso si valuterà anche l'adozione della palette colori del Design System AGID, con un cambiamento grafico visibile.</w:t>
      </w:r>
    </w:p>
    <w:p>
      <w:pPr>
        <w:pStyle w:val="Heading3"/>
      </w:pPr>
      <w:r>
        <w:t>Verifiche specialistiche (a cura di terzi)</w:t>
      </w:r>
    </w:p>
    <w:p>
      <w:pPr>
        <w:pStyle w:val="ListBullet"/>
      </w:pPr>
      <w:r>
        <w:rPr>
          <w:b/>
        </w:rPr>
        <w:t>Prove con lettori di schermo reali</w:t>
      </w:r>
      <w:r>
        <w:t xml:space="preserve"> (NVDA o JAWS su Windows, VoiceOver su Mac) da parte di un esperto o di utenti che li usano abitualmente: verificano la comprensibilità all'ascolto, che nessuno strumento automatico può accertare.</w:t>
      </w:r>
    </w:p>
    <w:p>
      <w:pPr>
        <w:pStyle w:val="ListBullet"/>
      </w:pPr>
      <w:r>
        <w:rPr>
          <w:b/>
        </w:rPr>
        <w:t>Pagina di accesso Keycloak</w:t>
      </w:r>
      <w:r>
        <w:t>: è la prima pagina del servizio ma il suo aspetto è gestito dall'amministratore di Keycloak. Va verificata con gli stessi criteri e deve consentire il riempimento automatico delle credenziali (WCAG 2.2 — 3.3.8 Autenticazione accessibile).</w:t>
      </w:r>
    </w:p>
    <w:p>
      <w:pPr>
        <w:pStyle w:val="Heading3"/>
      </w:pPr>
      <w:r>
        <w:t>Adempimenti ricorrenti dell'amministrazione</w:t>
      </w:r>
    </w:p>
    <w:p>
      <w:pPr>
        <w:pStyle w:val="ListBullet"/>
      </w:pPr>
      <w:r>
        <w:t xml:space="preserve">Pubblicazione della </w:t>
      </w:r>
      <w:r>
        <w:rPr>
          <w:b/>
        </w:rPr>
        <w:t>Dichiarazione di Accessibilità</w:t>
      </w:r>
      <w:r>
        <w:t xml:space="preserve"> sul portale AgID e suo </w:t>
      </w:r>
      <w:r>
        <w:rPr>
          <w:b/>
        </w:rPr>
        <w:t>aggiornamento annuale entro il 23 settembre</w:t>
      </w:r>
      <w:r>
        <w:t>.</w:t>
      </w:r>
    </w:p>
    <w:p>
      <w:pPr>
        <w:pStyle w:val="ListBullet"/>
      </w:pPr>
      <w:r>
        <w:t xml:space="preserve">Pubblicazione degli </w:t>
      </w:r>
      <w:r>
        <w:rPr>
          <w:b/>
        </w:rPr>
        <w:t>obiettivi di accessibilità entro il 31 marzo</w:t>
      </w:r>
      <w:r>
        <w:t xml:space="preserve"> di ogni anno.</w:t>
      </w:r>
    </w:p>
    <w:p>
      <w:pPr>
        <w:pStyle w:val="ListBullet"/>
      </w:pPr>
      <w:r>
        <w:t xml:space="preserve">Se il Cruscotto è un servizio rivolto ai cittadini, applicazione delle </w:t>
      </w:r>
      <w:r>
        <w:rPr>
          <w:b/>
        </w:rPr>
        <w:t>Linee guida di design dei servizi digitali della PA</w:t>
      </w:r>
      <w:r>
        <w:t xml:space="preserve"> (Designers Italia).</w:t>
      </w:r>
    </w:p>
    <w:p>
      <w:pPr>
        <w:pStyle w:val="Heading3"/>
      </w:pPr>
      <w:r>
        <w:t>Fase 3 · Grafici (residuo)</w:t>
      </w:r>
    </w:p>
    <w:p>
      <w:pPr>
        <w:pStyle w:val="ListBullet"/>
      </w:pPr>
      <w:r>
        <w:t>Tabella dei dati per ogni grafico, scaricabile in Excel (vedi 3.4).</w:t>
      </w:r>
    </w:p>
    <w:p>
      <w:pPr>
        <w:pStyle w:val="ListBullet"/>
      </w:pPr>
      <w:r>
        <w:t>Contrasto di linee, barre e fette di almeno 3:1 (criterio 1.4.11).</w:t>
      </w:r>
    </w:p>
    <w:p>
      <w:pPr>
        <w:pStyle w:val="Heading2"/>
      </w:pPr>
      <w:r>
        <w:t>5. Limitazioni note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Ambito</w:t>
            </w:r>
          </w:p>
        </w:tc>
        <w:tc>
          <w:tcPr>
            <w:tcW w:type="dxa" w:w="2880"/>
          </w:tcPr>
          <w:p>
            <w:r>
              <w:rPr>
                <w:b/>
                <w:sz w:val="17"/>
              </w:rPr>
            </w:r>
            <w:r>
              <w:rPr>
                <w:b/>
                <w:sz w:val="17"/>
              </w:rPr>
              <w:t>Situazione attuale</w:t>
            </w:r>
          </w:p>
        </w:tc>
        <w:tc>
          <w:tcPr>
            <w:tcW w:type="dxa" w:w="2880"/>
          </w:tcPr>
          <w:p>
            <w:r>
              <w:rPr>
                <w:b/>
                <w:sz w:val="17"/>
              </w:rPr>
            </w:r>
            <w:r>
              <w:rPr>
                <w:b/>
                <w:sz w:val="17"/>
              </w:rPr>
              <w:t>Intervento previsto</w:t>
            </w:r>
          </w:p>
        </w:tc>
      </w:tr>
      <w:tr>
        <w:tc>
          <w:tcPr>
            <w:tcW w:type="dxa" w:w="2880"/>
          </w:tcPr>
          <w:p>
            <w:r>
              <w:rPr>
                <w:sz w:val="17"/>
              </w:rPr>
            </w:r>
            <w:r>
              <w:rPr>
                <w:sz w:val="17"/>
              </w:rPr>
              <w:t>Dichiarazione di Accessibilità</w:t>
            </w:r>
          </w:p>
        </w:tc>
        <w:tc>
          <w:tcPr>
            <w:tcW w:type="dxa" w:w="2880"/>
          </w:tcPr>
          <w:p>
            <w:r>
              <w:rPr>
                <w:sz w:val="17"/>
              </w:rPr>
            </w:r>
            <w:r>
              <w:rPr>
                <w:sz w:val="17"/>
              </w:rPr>
              <w:t>Bozza pronta; da compilare e pubblicare su form.agid.gov.it.</w:t>
            </w:r>
          </w:p>
        </w:tc>
        <w:tc>
          <w:tcPr>
            <w:tcW w:type="dxa" w:w="2880"/>
          </w:tcPr>
          <w:p>
            <w:r>
              <w:rPr>
                <w:sz w:val="17"/>
              </w:rPr>
            </w:r>
            <w:r>
              <w:rPr>
                <w:sz w:val="17"/>
              </w:rPr>
              <w:t>Fase 2 (committente)</w:t>
            </w:r>
          </w:p>
        </w:tc>
      </w:tr>
      <w:tr>
        <w:tc>
          <w:tcPr>
            <w:tcW w:type="dxa" w:w="2880"/>
          </w:tcPr>
          <w:p>
            <w:r>
              <w:rPr>
                <w:sz w:val="17"/>
              </w:rPr>
            </w:r>
            <w:r>
              <w:rPr>
                <w:sz w:val="17"/>
              </w:rPr>
              <w:t>Tabelle molto larghe</w:t>
            </w:r>
          </w:p>
        </w:tc>
        <w:tc>
          <w:tcPr>
            <w:tcW w:type="dxa" w:w="2880"/>
          </w:tcPr>
          <w:p>
            <w:r>
              <w:rPr>
                <w:sz w:val="17"/>
              </w:rPr>
            </w:r>
            <w:r>
              <w:rPr>
                <w:sz w:val="17"/>
              </w:rPr>
              <w:t>Su schermi stretti scorrono orizzontalmente al loro interno (comportamento ammesso dalle WCAG).</w:t>
            </w:r>
          </w:p>
        </w:tc>
        <w:tc>
          <w:tcPr>
            <w:tcW w:type="dxa" w:w="2880"/>
          </w:tcPr>
          <w:p>
            <w:r>
              <w:rPr>
                <w:sz w:val="17"/>
              </w:rPr>
            </w:r>
            <w:r>
              <w:rPr>
                <w:sz w:val="17"/>
              </w:rPr>
              <w:t>—</w:t>
            </w:r>
          </w:p>
        </w:tc>
      </w:tr>
      <w:tr>
        <w:tc>
          <w:tcPr>
            <w:tcW w:type="dxa" w:w="2880"/>
          </w:tcPr>
          <w:p>
            <w:r>
              <w:rPr>
                <w:sz w:val="17"/>
              </w:rPr>
            </w:r>
            <w:r>
              <w:rPr>
                <w:sz w:val="17"/>
              </w:rPr>
              <w:t>Tema scuro</w:t>
            </w:r>
          </w:p>
        </w:tc>
        <w:tc>
          <w:tcPr>
            <w:tcW w:type="dxa" w:w="2880"/>
          </w:tcPr>
          <w:p>
            <w:r>
              <w:rPr>
                <w:sz w:val="17"/>
              </w:rPr>
            </w:r>
            <w:r>
              <w:rPr>
                <w:sz w:val="17"/>
              </w:rPr>
              <w:t>Non disponibile per gli utenti: i contrasti sono verificati sul tema chiaro, l'unico in uso.</w:t>
            </w:r>
          </w:p>
        </w:tc>
        <w:tc>
          <w:tcPr>
            <w:tcW w:type="dxa" w:w="2880"/>
          </w:tcPr>
          <w:p>
            <w:r>
              <w:rPr>
                <w:sz w:val="17"/>
              </w:rPr>
            </w:r>
            <w:r>
              <w:rPr>
                <w:sz w:val="17"/>
              </w:rPr>
              <w:t>Da verificare se verrà introdotto</w:t>
            </w:r>
          </w:p>
        </w:tc>
      </w:tr>
      <w:tr>
        <w:tc>
          <w:tcPr>
            <w:tcW w:type="dxa" w:w="2880"/>
          </w:tcPr>
          <w:p>
            <w:r>
              <w:rPr>
                <w:sz w:val="17"/>
              </w:rPr>
            </w:r>
            <w:r>
              <w:rPr>
                <w:sz w:val="17"/>
              </w:rPr>
              <w:t>Lettori di schermo</w:t>
            </w:r>
          </w:p>
        </w:tc>
        <w:tc>
          <w:tcPr>
            <w:tcW w:type="dxa" w:w="2880"/>
          </w:tcPr>
          <w:p>
            <w:r>
              <w:rPr>
                <w:sz w:val="17"/>
              </w:rPr>
            </w:r>
            <w:r>
              <w:rPr>
                <w:sz w:val="17"/>
              </w:rPr>
              <w:t>Non ancora provati con utenti reali.</w:t>
            </w:r>
          </w:p>
        </w:tc>
        <w:tc>
          <w:tcPr>
            <w:tcW w:type="dxa" w:w="2880"/>
          </w:tcPr>
          <w:p>
            <w:r>
              <w:rPr>
                <w:sz w:val="17"/>
              </w:rPr>
            </w:r>
            <w:r>
              <w:rPr>
                <w:sz w:val="17"/>
              </w:rPr>
              <w:t>Verifiche specialistiche</w:t>
            </w:r>
          </w:p>
        </w:tc>
      </w:tr>
      <w:tr>
        <w:tc>
          <w:tcPr>
            <w:tcW w:type="dxa" w:w="2880"/>
          </w:tcPr>
          <w:p>
            <w:r>
              <w:rPr>
                <w:sz w:val="17"/>
              </w:rPr>
            </w:r>
            <w:r>
              <w:rPr>
                <w:sz w:val="17"/>
              </w:rPr>
              <w:t>Pagina di accesso Keycloak</w:t>
            </w:r>
          </w:p>
        </w:tc>
        <w:tc>
          <w:tcPr>
            <w:tcW w:type="dxa" w:w="2880"/>
          </w:tcPr>
          <w:p>
            <w:r>
              <w:rPr>
                <w:sz w:val="17"/>
              </w:rPr>
            </w:r>
            <w:r>
              <w:rPr>
                <w:sz w:val="17"/>
              </w:rPr>
              <w:t>Fuori dal perimetro del Cruscotto.</w:t>
            </w:r>
          </w:p>
        </w:tc>
        <w:tc>
          <w:tcPr>
            <w:tcW w:type="dxa" w:w="2880"/>
          </w:tcPr>
          <w:p>
            <w:r>
              <w:rPr>
                <w:sz w:val="17"/>
              </w:rPr>
            </w:r>
            <w:r>
              <w:rPr>
                <w:sz w:val="17"/>
              </w:rPr>
              <w:t>A cura del gestore di Keycloak</w:t>
            </w:r>
          </w:p>
        </w:tc>
      </w:tr>
    </w:tbl>
    <w:p/>
    <w:p>
      <w:pPr>
        <w:pStyle w:val="Heading2"/>
      </w:pPr>
      <w:r>
        <w:t>6. Storico delle versioni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Versione</w:t>
            </w:r>
          </w:p>
        </w:tc>
        <w:tc>
          <w:tcPr>
            <w:tcW w:type="dxa" w:w="2880"/>
          </w:tcPr>
          <w:p>
            <w:r>
              <w:rPr>
                <w:b/>
                <w:sz w:val="17"/>
              </w:rPr>
            </w:r>
            <w:r>
              <w:rPr>
                <w:b/>
                <w:sz w:val="17"/>
              </w:rPr>
              <w:t>Data</w:t>
            </w:r>
          </w:p>
        </w:tc>
        <w:tc>
          <w:tcPr>
            <w:tcW w:type="dxa" w:w="2880"/>
          </w:tcPr>
          <w:p>
            <w:r>
              <w:rPr>
                <w:b/>
                <w:sz w:val="17"/>
              </w:rPr>
            </w:r>
            <w:r>
              <w:rPr>
                <w:b/>
                <w:sz w:val="17"/>
              </w:rPr>
              <w:t>Contenuto</w:t>
            </w:r>
          </w:p>
        </w:tc>
      </w:tr>
      <w:tr>
        <w:tc>
          <w:tcPr>
            <w:tcW w:type="dxa" w:w="2880"/>
          </w:tcPr>
          <w:p>
            <w:r>
              <w:rPr>
                <w:sz w:val="17"/>
              </w:rPr>
            </w:r>
            <w:r>
              <w:rPr>
                <w:sz w:val="17"/>
              </w:rPr>
              <w:t>1.0</w:t>
            </w:r>
          </w:p>
        </w:tc>
        <w:tc>
          <w:tcPr>
            <w:tcW w:type="dxa" w:w="2880"/>
          </w:tcPr>
          <w:p>
            <w:r>
              <w:rPr>
                <w:sz w:val="17"/>
              </w:rPr>
            </w:r>
            <w:r>
              <w:rPr>
                <w:sz w:val="17"/>
              </w:rPr>
              <w:t>Ottobre 2026</w:t>
            </w:r>
          </w:p>
        </w:tc>
        <w:tc>
          <w:tcPr>
            <w:tcW w:type="dxa" w:w="2880"/>
          </w:tcPr>
          <w:p>
            <w:r>
              <w:rPr>
                <w:sz w:val="17"/>
              </w:rPr>
            </w:r>
            <w:r>
              <w:rPr>
                <w:sz w:val="17"/>
              </w:rPr>
              <w:t>Prima emissione: Fase 0 e Fase 1 completate, Fasi 2 e 3 pianificate.</w:t>
            </w:r>
          </w:p>
        </w:tc>
      </w:tr>
      <w:tr>
        <w:tc>
          <w:tcPr>
            <w:tcW w:type="dxa" w:w="2880"/>
          </w:tcPr>
          <w:p>
            <w:r>
              <w:rPr>
                <w:sz w:val="17"/>
              </w:rPr>
            </w:r>
            <w:r>
              <w:rPr>
                <w:sz w:val="17"/>
              </w:rPr>
              <w:t>1.1</w:t>
            </w:r>
          </w:p>
        </w:tc>
        <w:tc>
          <w:tcPr>
            <w:tcW w:type="dxa" w:w="2880"/>
          </w:tcPr>
          <w:p>
            <w:r>
              <w:rPr>
                <w:sz w:val="17"/>
              </w:rPr>
            </w:r>
            <w:r>
              <w:rPr>
                <w:sz w:val="17"/>
              </w:rPr>
              <w:t>Ottobre 2026</w:t>
            </w:r>
          </w:p>
        </w:tc>
        <w:tc>
          <w:tcPr>
            <w:tcW w:type="dxa" w:w="2880"/>
          </w:tcPr>
          <w:p>
            <w:r>
              <w:rPr>
                <w:sz w:val="17"/>
              </w:rPr>
            </w:r>
            <w:r>
              <w:rPr>
                <w:sz w:val="17"/>
              </w:rPr>
              <w:t>Fase 1-bis completata (criteri WCAG 2.2, sessione, spaziatura, movimento, file esportati, controllo automatico permanente); aggiunte verifiche specialistiche e adempimenti ricorrenti.</w:t>
            </w:r>
          </w:p>
        </w:tc>
      </w:tr>
      <w:tr>
        <w:tc>
          <w:tcPr>
            <w:tcW w:type="dxa" w:w="2880"/>
          </w:tcPr>
          <w:p>
            <w:r>
              <w:rPr>
                <w:sz w:val="17"/>
              </w:rPr>
            </w:r>
            <w:r>
              <w:rPr>
                <w:sz w:val="17"/>
              </w:rPr>
              <w:t>1.2</w:t>
            </w:r>
          </w:p>
        </w:tc>
        <w:tc>
          <w:tcPr>
            <w:tcW w:type="dxa" w:w="2880"/>
          </w:tcPr>
          <w:p>
            <w:r>
              <w:rPr>
                <w:sz w:val="17"/>
              </w:rPr>
            </w:r>
            <w:r>
              <w:rPr>
                <w:sz w:val="17"/>
              </w:rPr>
              <w:t>Ottobre 2026</w:t>
            </w:r>
          </w:p>
        </w:tc>
        <w:tc>
          <w:tcPr>
            <w:tcW w:type="dxa" w:w="2880"/>
          </w:tcPr>
          <w:p>
            <w:r>
              <w:rPr>
                <w:sz w:val="17"/>
              </w:rPr>
            </w:r>
            <w:r>
              <w:rPr>
                <w:sz w:val="17"/>
              </w:rPr>
              <w:t>Fase 3: pulsante «Visualizza in tabella» con tabella dei dati su tutti i grafici; testi nascosti dei componenti in italiano.</w:t>
            </w:r>
          </w:p>
        </w:tc>
      </w:tr>
      <w:tr>
        <w:tc>
          <w:tcPr>
            <w:tcW w:type="dxa" w:w="2880"/>
          </w:tcPr>
          <w:p>
            <w:r>
              <w:rPr>
                <w:sz w:val="17"/>
              </w:rPr>
            </w:r>
            <w:r>
              <w:rPr>
                <w:sz w:val="17"/>
              </w:rPr>
              <w:t>1.3</w:t>
            </w:r>
          </w:p>
        </w:tc>
        <w:tc>
          <w:tcPr>
            <w:tcW w:type="dxa" w:w="2880"/>
          </w:tcPr>
          <w:p>
            <w:r>
              <w:rPr>
                <w:sz w:val="17"/>
              </w:rPr>
            </w:r>
            <w:r>
              <w:rPr>
                <w:sz w:val="17"/>
              </w:rPr>
              <w:t>Ottobre 2026</w:t>
            </w:r>
          </w:p>
        </w:tc>
        <w:tc>
          <w:tcPr>
            <w:tcW w:type="dxa" w:w="2880"/>
          </w:tcPr>
          <w:p>
            <w:r>
              <w:rPr>
                <w:sz w:val="17"/>
              </w:rPr>
            </w:r>
            <w:r>
              <w:rPr>
                <w:sz w:val="17"/>
              </w:rPr>
              <w:t>Fase 3 completata (Excel dalla tabella dei grafici, contrasto 3:1 dei colori dei dati); Fase 2 predisposta (bozza della dichiarazione, link configurabili).</w:t>
            </w:r>
          </w:p>
        </w:tc>
      </w:tr>
      <w:tr>
        <w:tc>
          <w:tcPr>
            <w:tcW w:type="dxa" w:w="2880"/>
          </w:tcPr>
          <w:p>
            <w:r>
              <w:rPr>
                <w:sz w:val="17"/>
              </w:rPr>
            </w:r>
            <w:r>
              <w:rPr>
                <w:sz w:val="17"/>
              </w:rPr>
              <w:t>1.4</w:t>
            </w:r>
          </w:p>
        </w:tc>
        <w:tc>
          <w:tcPr>
            <w:tcW w:type="dxa" w:w="2880"/>
          </w:tcPr>
          <w:p>
            <w:r>
              <w:rPr>
                <w:sz w:val="17"/>
              </w:rPr>
            </w:r>
            <w:r>
              <w:rPr>
                <w:sz w:val="17"/>
              </w:rPr>
              <w:t>Ottobre 2026</w:t>
            </w:r>
          </w:p>
        </w:tc>
        <w:tc>
          <w:tcPr>
            <w:tcW w:type="dxa" w:w="2880"/>
          </w:tcPr>
          <w:p>
            <w:r>
              <w:rPr>
                <w:sz w:val="17"/>
              </w:rPr>
            </w:r>
            <w:r>
              <w:rPr>
                <w:sz w:val="17"/>
              </w:rPr>
              <w:t>PDF esportati accessibili (PDF/UA taggati) al posto dei PDF non strutturati.</w:t>
            </w:r>
          </w:p>
        </w:tc>
      </w:tr>
      <w:tr>
        <w:tc>
          <w:tcPr>
            <w:tcW w:type="dxa" w:w="2880"/>
          </w:tcPr>
          <w:p>
            <w:r>
              <w:rPr>
                <w:sz w:val="17"/>
              </w:rPr>
            </w:r>
            <w:r>
              <w:rPr>
                <w:sz w:val="17"/>
              </w:rPr>
              <w:t>1.5</w:t>
            </w:r>
          </w:p>
        </w:tc>
        <w:tc>
          <w:tcPr>
            <w:tcW w:type="dxa" w:w="2880"/>
          </w:tcPr>
          <w:p>
            <w:r>
              <w:rPr>
                <w:sz w:val="17"/>
              </w:rPr>
            </w:r>
            <w:r>
              <w:rPr>
                <w:sz w:val="17"/>
              </w:rPr>
              <w:t>Ottobre 2026</w:t>
            </w:r>
          </w:p>
        </w:tc>
        <w:tc>
          <w:tcPr>
            <w:tcW w:type="dxa" w:w="2880"/>
          </w:tcPr>
          <w:p>
            <w:r>
              <w:rPr>
                <w:sz w:val="17"/>
              </w:rPr>
            </w:r>
            <w:r>
              <w:rPr>
                <w:sz w:val="17"/>
              </w:rPr>
              <w:t>Verifica finale: controllo automatico su tutte le pagine con i profili amministratore e responsabile di ente; prove su staging superate (tabelle dei grafici, Excel, PDF accessibile).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