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Dichiarazione di Accessibilità — Cruscotto HR (BOZZA)</w:t>
      </w:r>
    </w:p>
    <w:p>
      <w:r>
        <w:rPr>
          <w:b/>
          <w:i/>
        </w:rPr>
        <w:t>Bozza da completare e pubblicare</w:t>
      </w:r>
      <w:r>
        <w:rPr>
          <w:i/>
        </w:rPr>
        <w:t xml:space="preserve"> sulla piattaforma AgID (form.agid.gov.it), secondo il</w:t>
      </w:r>
    </w:p>
    <w:p>
      <w:r>
        <w:rPr>
          <w:i/>
        </w:rPr>
        <w:t>modello previsto dalle Linee Guida AgID sull'accessibilità degli strumenti informatici.</w:t>
      </w:r>
    </w:p>
    <w:p>
      <w:r>
        <w:rPr>
          <w:i/>
        </w:rPr>
        <w:t xml:space="preserve">I campi tra </w:t>
      </w:r>
      <w:r>
        <w:rPr>
          <w:b/>
          <w:i/>
        </w:rPr>
        <w:t>[parentesi quadre]</w:t>
      </w:r>
      <w:r>
        <w:rPr>
          <w:i/>
        </w:rPr>
        <w:t xml:space="preserve"> vanno compilati dall'amministrazione. Dopo la</w:t>
      </w:r>
    </w:p>
    <w:p>
      <w:r>
        <w:rPr>
          <w:i/>
        </w:rPr>
        <w:t xml:space="preserve">pubblicazione, impostare nel Cruscotto le variabili </w:t>
      </w:r>
      <w:r>
        <w:rPr>
          <w:rFonts w:ascii="Consolas" w:hAnsi="Consolas"/>
          <w:i/>
          <w:color w:val="1F4E79"/>
        </w:rPr>
        <w:t>VITE_A11Y_STATEMENT_URL</w:t>
      </w:r>
      <w:r>
        <w:rPr>
          <w:i/>
        </w:rPr>
        <w:t xml:space="preserve"> (link alla</w:t>
      </w:r>
    </w:p>
    <w:p>
      <w:r>
        <w:rPr>
          <w:i/>
        </w:rPr>
        <w:t xml:space="preserve">dichiarazione pubblicata) e </w:t>
      </w:r>
      <w:r>
        <w:rPr>
          <w:rFonts w:ascii="Consolas" w:hAnsi="Consolas"/>
          <w:i/>
          <w:color w:val="1F4E79"/>
        </w:rPr>
        <w:t>VITE_A11Y_FEEDBACK_EMAIL</w:t>
      </w:r>
      <w:r>
        <w:rPr>
          <w:i/>
        </w:rPr>
        <w:t xml:space="preserve"> (indirizzo per le segnalazioni):</w:t>
      </w:r>
    </w:p>
    <w:p>
      <w:r>
        <w:rPr>
          <w:i/>
        </w:rPr>
        <w:t>i link compaiono automaticamente nella pagina di accesso, nel menu laterale e nella Bussola.</w:t>
      </w:r>
    </w:p>
    <w:p>
      <w:r>
        <w:rPr>
          <w:b/>
        </w:rPr>
        <w:t>[Denominazione dell'amministrazione]</w:t>
      </w:r>
      <w:r>
        <w:t xml:space="preserve"> si impegna a rendere il proprio sito web accessibile, conformemente alla Legge 9 gennaio 2004, n. 4. La presente dichiarazione di accessibilità si applica a: </w:t>
      </w:r>
      <w:r>
        <w:rPr>
          <w:b/>
        </w:rPr>
        <w:t>Cruscotto HR — [indirizzo del sito]</w:t>
      </w:r>
      <w:r>
        <w:t>.</w:t>
      </w:r>
    </w:p>
    <w:p>
      <w:pPr>
        <w:pStyle w:val="Heading2"/>
      </w:pPr>
      <w:r>
        <w:t>Stato di conformità</w:t>
      </w:r>
    </w:p>
    <w:p>
      <w:r>
        <w:t xml:space="preserve">Il sito è </w:t>
      </w:r>
      <w:r>
        <w:rPr>
          <w:b/>
        </w:rPr>
        <w:t>conforme</w:t>
      </w:r>
      <w:r>
        <w:t xml:space="preserve"> ai requisiti previsti dall'allegato A alla norma UNI CEI EN 301549:2021 (criteri WCAG 2.1 di livello A e AA). </w:t>
      </w:r>
      <w:r>
        <w:rPr>
          <w:b/>
        </w:rPr>
        <w:t>[Da confermare dopo la verifica automatica su staging e le eventuali prove con lettori di schermo.]</w:t>
      </w:r>
    </w:p>
    <w:p>
      <w:pPr>
        <w:pStyle w:val="Heading2"/>
      </w:pPr>
      <w:r>
        <w:t>Contenuti non accessibili</w:t>
      </w:r>
    </w:p>
    <w:p>
      <w:r>
        <w:rPr>
          <w:b/>
        </w:rPr>
        <w:t>Documenti esportati</w:t>
      </w:r>
    </w:p>
    <w:p>
      <w:pPr>
        <w:pStyle w:val="ListBullet"/>
      </w:pPr>
      <w:r>
        <w:t xml:space="preserve">I file </w:t>
      </w:r>
      <w:r>
        <w:rPr>
          <w:b/>
        </w:rPr>
        <w:t>PDF</w:t>
      </w:r>
      <w:r>
        <w:t xml:space="preserve"> esportati sono accessibili (PDF/UA «taggati»: titolo, lingua italiana, intestazioni di tabella, ordine di lettura); la stessa tabella è disponibile anche in Excel.</w:t>
      </w:r>
    </w:p>
    <w:p>
      <w:r>
        <w:rPr>
          <w:b/>
        </w:rPr>
        <w:t>Contenuti non soggetti al perimetro del Cruscotto</w:t>
      </w:r>
    </w:p>
    <w:p>
      <w:pPr>
        <w:pStyle w:val="ListBullet"/>
      </w:pPr>
      <w:r>
        <w:rPr>
          <w:b/>
        </w:rPr>
        <w:t>Pagina di accesso (Keycloak)</w:t>
      </w:r>
      <w:r>
        <w:t xml:space="preserve">: è gestita dal fornitore del servizio di identità e non rientra nel Cruscotto. </w:t>
      </w:r>
      <w:r>
        <w:rPr>
          <w:b/>
        </w:rPr>
        <w:t>[Indicare il soggetto responsabile.]</w:t>
      </w:r>
    </w:p>
    <w:p>
      <w:pPr>
        <w:pStyle w:val="Heading2"/>
      </w:pPr>
      <w:r>
        <w:t>Redazione della dichiarazione</w:t>
      </w:r>
    </w:p>
    <w:p>
      <w:r>
        <w:t xml:space="preserve">La dichiarazione è stata redatta il </w:t>
      </w:r>
      <w:r>
        <w:rPr>
          <w:b/>
        </w:rPr>
        <w:t>[data]</w:t>
      </w:r>
      <w:r>
        <w:t xml:space="preserve"> tramite </w:t>
      </w:r>
      <w:r>
        <w:rPr>
          <w:b/>
        </w:rPr>
        <w:t>autovalutazione</w:t>
      </w:r>
      <w:r>
        <w:t>, con:</w:t>
      </w:r>
    </w:p>
    <w:p>
      <w:pPr>
        <w:pStyle w:val="ListBullet"/>
      </w:pPr>
      <w:r>
        <w:t>verifica automatica permanente con regole axe-core WCAG 2.0, 2.1 e 2.2 (livelli A e AA) su tutte le pagine, con due profili utente;</w:t>
      </w:r>
    </w:p>
    <w:p>
      <w:pPr>
        <w:pStyle w:val="ListBullet"/>
      </w:pPr>
      <w:r>
        <w:t>prove di navigazione da tastiera, riflusso a 320 px, spaziatura del testo, focus visibile;</w:t>
      </w:r>
    </w:p>
    <w:p>
      <w:pPr>
        <w:pStyle w:val="ListBullet"/>
      </w:pPr>
      <w:r>
        <w:t>verifica del contrasto di testi ed elementi grafici (4,5:1 e 3:1);</w:t>
      </w:r>
    </w:p>
    <w:p>
      <w:pPr>
        <w:pStyle w:val="ListBullet"/>
      </w:pPr>
      <w:r>
        <w:rPr>
          <w:b/>
        </w:rPr>
        <w:t>[eventuali prove con lettori di schermo / verifica di terzi]</w:t>
      </w:r>
      <w:r>
        <w:t>.</w:t>
      </w:r>
    </w:p>
    <w:p>
      <w:pPr>
        <w:pStyle w:val="Heading2"/>
      </w:pPr>
      <w:r>
        <w:t>Meccanismo di feedback e recapiti</w:t>
      </w:r>
    </w:p>
    <w:p>
      <w:r>
        <w:t xml:space="preserve">Per segnalare problemi di accessibilità o richiedere contenuti in formato accessibile: </w:t>
      </w:r>
      <w:r>
        <w:rPr>
          <w:b/>
        </w:rPr>
        <w:t>[indirizzo email]</w:t>
      </w:r>
      <w:r>
        <w:t xml:space="preserve"> — </w:t>
      </w:r>
      <w:r>
        <w:rPr>
          <w:b/>
        </w:rPr>
        <w:t>[eventuale modulo web]</w:t>
      </w:r>
      <w:r>
        <w:t xml:space="preserve">. L'amministrazione risponde entro </w:t>
      </w:r>
      <w:r>
        <w:rPr>
          <w:b/>
        </w:rPr>
        <w:t>30 giorni</w:t>
      </w:r>
      <w:r>
        <w:t>.</w:t>
      </w:r>
    </w:p>
    <w:p>
      <w:pPr>
        <w:pStyle w:val="Heading2"/>
      </w:pPr>
      <w:r>
        <w:t>Procedura di attuazione</w:t>
      </w:r>
    </w:p>
    <w:p>
      <w:r>
        <w:t xml:space="preserve">In caso di risposta insoddisfacente o di mancata risposta entro 30 giorni, è possibile inoltrare una segnalazione al </w:t>
      </w:r>
      <w:r>
        <w:rPr>
          <w:b/>
        </w:rPr>
        <w:t>Difensore civico per il digitale</w:t>
      </w:r>
      <w:r>
        <w:t xml:space="preserve"> di AgID (https://www.agid.gov.it/it/agenzia/difensore-civico-il-digitale).</w:t>
      </w:r>
    </w:p>
    <w:p>
      <w:pPr>
        <w:pStyle w:val="Heading2"/>
      </w:pPr>
      <w:r>
        <w:t>Informazioni sul sito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Voce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Valore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Data di pubblicazione del sito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[data]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Test di usabilità effettuati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[sì/no]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Content Management System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Applicazione web dedicata (React)</w:t>
            </w:r>
          </w:p>
        </w:tc>
      </w:tr>
    </w:tbl>
    <w:p/>
    <w:p>
      <w:pPr>
        <w:pStyle w:val="Heading2"/>
      </w:pPr>
      <w:r>
        <w:t>Informazioni sulla struttura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Voce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Valore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Responsabile dei processi di inserimento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[nome / ufficio]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Responsabile della transizione al digitale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[nome]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Dipendenti con disabilità nell'amministrazione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[numero]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Postazioni di lavoro per dipendenti con disabilità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[numero]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