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 Manuale utente</w:t>
      </w:r>
    </w:p>
    <w:p>
      <w:r>
        <w:t>◀ Torna all'indice</w:t>
      </w:r>
    </w:p>
    <w:p>
      <w:r>
        <w:t>La presente sezione descrive l'utilizzo del Cruscotto HR nelle attività quotidiane.</w:t>
      </w:r>
    </w:p>
    <w:p>
      <w:pPr>
        <w:pStyle w:val="Heading2"/>
      </w:pPr>
      <w:r>
        <w:t>1.1 Accesso</w:t>
      </w:r>
    </w:p>
    <w:p>
      <w:r>
        <w:t>L'accesso avviene tramite il sistema di autenticazione aziendale (single sign-on), utilizzando le medesime credenziali impiegate per gli altri servizi interni. Al primo ingresso può essere proposta una breve presentazione guidata delle funzioni principali, che l'utente può seguire o chiudere.</w:t>
      </w:r>
    </w:p>
    <w:p>
      <w:r>
        <w:t>Qualora le credenziali non risultino abilitate al cruscotto, viene mostrata una schermata che segnala l'accesso non consentito; in tal caso occorre rivolgersi al referente della propria struttura.</w:t>
      </w:r>
    </w:p>
    <w:p>
      <w:pPr>
        <w:pStyle w:val="Heading2"/>
      </w:pPr>
      <w:r>
        <w:t>1.2 Le aree del cruscotto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Che cosa contiene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Vista Executive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Il quadro d'insieme: gli indici delle sei dimensioni (D1–D6) con il loro score da 0 a 100.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Vista Sintetica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Una pagina per ciascuna dimensione, con il dettaglio di ogni indice: score, giudizio, formula, scheda metodologica e andamento negli anni.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Conto Annuale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Le schede di analisi del personale: consistenze, assunzioni, cessazioni, turnover, età, genere, anzianità e altre.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SIPrO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Benchmark tra enti, organizzazione, processi, profili professionali e cataloghi.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KPI Riforma PA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 KPI abilitanti e di successo, raggruppati per dimensione.</w:t>
            </w:r>
          </w:p>
        </w:tc>
      </w:tr>
    </w:tbl>
    <w:p/>
    <w:p>
      <w:r>
        <w:t>Il dettaglio su come leggere indici e KPI è nella pagina Indici e KPI.</w:t>
      </w:r>
    </w:p>
    <w:p>
      <w:pPr>
        <w:pStyle w:val="Heading2"/>
      </w:pPr>
      <w:r>
        <w:t>1.3 Navigazione tra le schede</w:t>
      </w:r>
    </w:p>
    <w:p>
      <w:r>
        <w:t>Il menù di navigazione, sulla sinistra, elenca le aree e le schede disponibili. Ogni scheda presenta:</w:t>
      </w:r>
    </w:p>
    <w:p>
      <w:pPr>
        <w:pStyle w:val="ListBullet"/>
      </w:pPr>
      <w:r>
        <w:t xml:space="preserve">alcuni </w:t>
      </w:r>
      <w:r>
        <w:rPr>
          <w:b/>
        </w:rPr>
        <w:t>indicatori chiave</w:t>
      </w:r>
      <w:r>
        <w:t xml:space="preserve"> in evidenza;</w:t>
      </w:r>
    </w:p>
    <w:p>
      <w:pPr>
        <w:pStyle w:val="ListBullet"/>
      </w:pPr>
      <w:r>
        <w:t xml:space="preserve">uno o più </w:t>
      </w:r>
      <w:r>
        <w:rPr>
          <w:b/>
        </w:rPr>
        <w:t>grafici</w:t>
      </w:r>
      <w:r>
        <w:t>;</w:t>
      </w:r>
    </w:p>
    <w:p>
      <w:pPr>
        <w:pStyle w:val="ListBullet"/>
      </w:pPr>
      <w:r>
        <w:t xml:space="preserve">eventuali </w:t>
      </w:r>
      <w:r>
        <w:rPr>
          <w:b/>
        </w:rPr>
        <w:t>tabelle</w:t>
      </w:r>
      <w:r>
        <w:t xml:space="preserve"> di dettaglio.</w:t>
      </w:r>
    </w:p>
    <w:p>
      <w:r>
        <w:t>Nell'intestazione sono riportati il titolo della scheda e il contesto attivo.</w:t>
      </w:r>
    </w:p>
    <w:p>
      <w:pPr>
        <w:pStyle w:val="Heading2"/>
      </w:pPr>
      <w:r>
        <w:t>1.4 Filtri</w:t>
      </w:r>
    </w:p>
    <w:p>
      <w:r>
        <w:t>I filtri, nella barra in alto, consentono di circoscrivere i dati all'ambito desiderato. A seconda della scheda sono disponibili:</w:t>
      </w:r>
    </w:p>
    <w:p>
      <w:pPr>
        <w:pStyle w:val="ListBullet"/>
      </w:pPr>
      <w:r>
        <w:rPr>
          <w:b/>
        </w:rPr>
        <w:t>anno</w:t>
      </w:r>
      <w:r>
        <w:t xml:space="preserve"> di riferimento;</w:t>
      </w:r>
    </w:p>
    <w:p>
      <w:pPr>
        <w:pStyle w:val="ListBullet"/>
      </w:pPr>
      <w:r>
        <w:rPr>
          <w:b/>
        </w:rPr>
        <w:t>comparto</w:t>
      </w:r>
      <w:r>
        <w:t xml:space="preserve">, </w:t>
      </w:r>
      <w:r>
        <w:rPr>
          <w:b/>
        </w:rPr>
        <w:t>categoria</w:t>
      </w:r>
      <w:r>
        <w:t xml:space="preserve"> e livelli collegati;</w:t>
      </w:r>
    </w:p>
    <w:p>
      <w:pPr>
        <w:pStyle w:val="ListBullet"/>
      </w:pPr>
      <w:r>
        <w:rPr>
          <w:b/>
        </w:rPr>
        <w:t>regione</w:t>
      </w:r>
      <w:r>
        <w:t>;</w:t>
      </w:r>
    </w:p>
    <w:p>
      <w:pPr>
        <w:pStyle w:val="ListBullet"/>
      </w:pPr>
      <w:r>
        <w:rPr>
          <w:b/>
        </w:rPr>
        <w:t>genere</w:t>
      </w:r>
      <w:r>
        <w:t>, dove ha senso.</w:t>
      </w:r>
    </w:p>
    <w:p>
      <w:r>
        <w:t>I filtri operano in modo coordinato: la selezione di una voce aggiorna automaticamente quelle collegate, mostrando le sole combinazioni valide. La modifica dei filtri aggiorna subito grafici e tabelle. Nella scheda KPI Riforma PA l'unico filtro è l'anno.</w:t>
      </w:r>
    </w:p>
    <w:p>
      <w:pPr>
        <w:pStyle w:val="Heading2"/>
      </w:pPr>
      <w:r>
        <w:t>1.5 Selezione dell'ente</w:t>
      </w:r>
    </w:p>
    <w:p>
      <w:r>
        <w:t xml:space="preserve">Per gli utenti di ente, l'ente su cui si sta lavorando è sempre indicato </w:t>
      </w:r>
      <w:r>
        <w:rPr>
          <w:b/>
        </w:rPr>
        <w:t>a destra nella barra dei filtri</w:t>
      </w:r>
      <w:r>
        <w:t>, alla voce «Ente», in tutte le aree attive.</w:t>
      </w:r>
    </w:p>
    <w:p>
      <w:pPr>
        <w:pStyle w:val="ListBullet"/>
      </w:pPr>
      <w:r>
        <w:t xml:space="preserve">Chi è abilitato a </w:t>
      </w:r>
      <w:r>
        <w:rPr>
          <w:b/>
        </w:rPr>
        <w:t>più enti</w:t>
      </w:r>
      <w:r>
        <w:t xml:space="preserve"> sceglie l'ente da quel menu; la scelta vale per tutte le schede e resta valida anche ricaricando la pagina, fino alla chiusura della sessione.</w:t>
      </w:r>
    </w:p>
    <w:p>
      <w:pPr>
        <w:pStyle w:val="ListBullet"/>
      </w:pPr>
      <w:r>
        <w:t xml:space="preserve">Chi è abilitato a </w:t>
      </w:r>
      <w:r>
        <w:rPr>
          <w:b/>
        </w:rPr>
        <w:t>un solo ente</w:t>
      </w:r>
      <w:r>
        <w:t xml:space="preserve"> vede il nome del proprio ente, già selezionato.</w:t>
      </w:r>
    </w:p>
    <w:p>
      <w:pPr>
        <w:pStyle w:val="ListBullet"/>
      </w:pPr>
      <w:r>
        <w:t xml:space="preserve">L'amministratore visualizza il dato </w:t>
      </w:r>
      <w:r>
        <w:rPr>
          <w:b/>
        </w:rPr>
        <w:t>aggregato</w:t>
      </w:r>
      <w:r>
        <w:t xml:space="preserve"> dell'insieme degli enti.</w:t>
      </w:r>
    </w:p>
    <w:p>
      <w:pPr>
        <w:pStyle w:val="Heading2"/>
      </w:pPr>
      <w:r>
        <w:t>1.6 Lettura dei dati</w:t>
      </w:r>
    </w:p>
    <w:p>
      <w:pPr>
        <w:pStyle w:val="ListBullet"/>
      </w:pPr>
      <w:r>
        <w:t>Il passaggio del puntatore sui grafici mostra i valori di dettaglio.</w:t>
      </w:r>
    </w:p>
    <w:p>
      <w:pPr>
        <w:pStyle w:val="ListBullet"/>
      </w:pPr>
      <w:r>
        <w:t xml:space="preserve">Il </w:t>
      </w:r>
      <w:r>
        <w:rPr>
          <w:b/>
        </w:rPr>
        <w:t>glossario</w:t>
      </w:r>
      <w:r>
        <w:t xml:space="preserve"> riporta il significato dei termini e degli indicatori.</w:t>
      </w:r>
    </w:p>
    <w:p>
      <w:pPr>
        <w:pStyle w:val="ListBullet"/>
      </w:pPr>
      <w:r>
        <w:t xml:space="preserve">Gli indici della Vista Sintetica e della Vista Executive hanno uno </w:t>
      </w:r>
      <w:r>
        <w:rPr>
          <w:b/>
        </w:rPr>
        <w:t>score da 0 a 100</w:t>
      </w:r>
      <w:r>
        <w:t xml:space="preserve"> e un </w:t>
      </w:r>
      <w:r>
        <w:rPr>
          <w:b/>
        </w:rPr>
        <w:t>giudizio</w:t>
      </w:r>
      <w:r>
        <w:t xml:space="preserve"> (Basso · Moderato · Buono · Eccellente).</w:t>
      </w:r>
    </w:p>
    <w:p>
      <w:pPr>
        <w:pStyle w:val="ListBullet"/>
      </w:pPr>
      <w:r>
        <w:t xml:space="preserve">Le card degli indici contengono pannelli che si aprono con un clic: </w:t>
      </w:r>
      <w:r>
        <w:rPr>
          <w:b/>
        </w:rPr>
        <w:t>Scomposizione formula</w:t>
      </w:r>
      <w:r>
        <w:t xml:space="preserve">, </w:t>
      </w:r>
      <w:r>
        <w:rPr>
          <w:b/>
        </w:rPr>
        <w:t>Scheda metodologica</w:t>
      </w:r>
      <w:r>
        <w:t xml:space="preserve"> e </w:t>
      </w:r>
      <w:r>
        <w:rPr>
          <w:b/>
        </w:rPr>
        <w:t>Trend storico</w:t>
      </w:r>
      <w:r>
        <w:t>.</w:t>
      </w:r>
    </w:p>
    <w:p>
      <w:pPr>
        <w:pStyle w:val="ListBullet"/>
      </w:pPr>
      <w:r>
        <w:t xml:space="preserve">Gli elementi marcati </w:t>
      </w:r>
      <w:r>
        <w:rPr>
          <w:b/>
        </w:rPr>
        <w:t>«Dati mock-up»</w:t>
      </w:r>
      <w:r>
        <w:t xml:space="preserve"> riportano valori dimostrativi, in attesa dei dati definitivi.</w:t>
      </w:r>
    </w:p>
    <w:p>
      <w:pPr>
        <w:pStyle w:val="Heading2"/>
      </w:pPr>
      <w:r>
        <w:t>1.7 Ricerca</w:t>
      </w:r>
    </w:p>
    <w:p>
      <w:r>
        <w:t xml:space="preserve">Nella scheda </w:t>
      </w:r>
      <w:r>
        <w:rPr>
          <w:b/>
        </w:rPr>
        <w:t>KPI Riforma PA</w:t>
      </w:r>
      <w:r>
        <w:t xml:space="preserve"> un campo di ricerca permette di trovare subito un KPI per codice (ad esempio «D6.1») o per parole del nome (ad esempio «lavoro agile»). Le dimensioni senza risultati vengono nascoste e un contatore indica quanti KPI corrispondono.</w:t>
      </w:r>
    </w:p>
    <w:p>
      <w:pPr>
        <w:pStyle w:val="Heading2"/>
      </w:pPr>
      <w:r>
        <w:t>1.8 Esportazione</w:t>
      </w:r>
    </w:p>
    <w:p>
      <w:r>
        <w:t xml:space="preserve">Le tabelle dispongono, in alto a destra del proprio riquadro, di un pulsante </w:t>
      </w:r>
      <w:r>
        <w:rPr>
          <w:b/>
        </w:rPr>
        <w:t>«Esporta»</w:t>
      </w:r>
      <w:r>
        <w:t xml:space="preserve"> che consente di scaricare i dati in tre formati:</w:t>
      </w:r>
    </w:p>
    <w:p>
      <w:pPr>
        <w:pStyle w:val="ListBullet"/>
      </w:pPr>
      <w:r>
        <w:rPr>
          <w:b/>
        </w:rPr>
        <w:t>CSV</w:t>
      </w:r>
      <w:r>
        <w:t xml:space="preserve"> — per l'apertura in qualsiasi foglio di calcolo;</w:t>
      </w:r>
    </w:p>
    <w:p>
      <w:pPr>
        <w:pStyle w:val="ListBullet"/>
      </w:pPr>
      <w:r>
        <w:rPr>
          <w:b/>
        </w:rPr>
        <w:t>Excel</w:t>
      </w:r>
      <w:r>
        <w:t xml:space="preserve"> — un foglio per ciascuna tabella, con intestazioni e larghezze colonne;</w:t>
      </w:r>
    </w:p>
    <w:p>
      <w:pPr>
        <w:pStyle w:val="ListBullet"/>
      </w:pPr>
      <w:r>
        <w:rPr>
          <w:b/>
        </w:rPr>
        <w:t>PDF</w:t>
      </w:r>
      <w:r>
        <w:t xml:space="preserve"> — documento pronto per la stampa o la condivisione.</w:t>
      </w:r>
    </w:p>
    <w:p>
      <w:r>
        <w:t xml:space="preserve">L'esportazione riporta </w:t>
      </w:r>
      <w:r>
        <w:rPr>
          <w:b/>
        </w:rPr>
        <w:t>tutti i dati</w:t>
      </w:r>
      <w:r>
        <w:t xml:space="preserve"> della tabella, non solo la porzione visualizzata a schermo. Nei KPI Riforma PA vengono esportati tutti i KPI dell'anno scelto, anche se è attiva una ricerca.</w:t>
      </w:r>
    </w:p>
    <w:p>
      <w:pPr>
        <w:pStyle w:val="Heading2"/>
      </w:pPr>
      <w:r>
        <w:t>1.9 Aggiornamenti dell'applicazione</w:t>
      </w:r>
    </w:p>
    <w:p>
      <w:r>
        <w:t xml:space="preserve">Alla pubblicazione di una nuova versione viene proposto un </w:t>
      </w:r>
      <w:r>
        <w:rPr>
          <w:b/>
        </w:rPr>
        <w:t>avviso di aggiornamento</w:t>
      </w:r>
      <w:r>
        <w:t>: la conferma ricarica l'applicazione all'ultima versione disponibile, garantendo la coerenza di dati e funzionalità.</w:t>
      </w:r>
    </w:p>
    <w:p>
      <w:pPr>
        <w:pStyle w:val="Heading2"/>
      </w:pPr>
      <w:r>
        <w:t>1.10 Domande frequenti</w:t>
      </w:r>
    </w:p>
    <w:p>
      <w:r>
        <w:rPr>
          <w:b/>
        </w:rPr>
        <w:t>Una scheda presente in precedenza non risulta più disponibile.</w:t>
      </w:r>
      <w:r>
        <w:t xml:space="preserve"> Alcune schede possono essere temporaneamente disattivate dagli amministratori o essere in lavorazione. Si consiglia di riprovare successivamente o di contattare il referente.</w:t>
      </w:r>
    </w:p>
    <w:p>
      <w:r>
        <w:rPr>
          <w:b/>
        </w:rPr>
        <w:t>Compare un avviso relativo a dati dimostrativi.</w:t>
      </w:r>
      <w:r>
        <w:t xml:space="preserve"> Alcune sezioni sono presentate a scopo dimostrativo finché i dati definitivi non sono disponibili; l'avviso ne dà evidenza.</w:t>
      </w:r>
    </w:p>
    <w:p>
      <w:r>
        <w:rPr>
          <w:b/>
        </w:rPr>
        <w:t>Nella sezione SIPrO compare «Ente non accreditato in SIPrO».</w:t>
      </w:r>
      <w:r>
        <w:t xml:space="preserve"> L'ente selezionato non partecipa al SIPrO e i relativi dati non sono disponibili. Se si è abilitati anche ad altri enti, è possibile selezionarne uno accreditato dal menu «Ente».</w:t>
      </w:r>
    </w:p>
    <w:p>
      <w:r>
        <w:rPr>
          <w:b/>
        </w:rPr>
        <w:t>Nella sezione KPI Riforma PA compare «Ente non partecipante alla rilevazione KPI».</w:t>
      </w:r>
      <w:r>
        <w:t xml:space="preserve"> L'ente selezionato non risulta nell'elenco degli enti partecipanti alla rilevazione (elenco di riferimento 2024, valido per tutti gli anni). È possibile scegliere un altro ente partecipante dal menu «Ente».</w:t>
      </w:r>
    </w:p>
    <w:p>
      <w:r>
        <w:rPr>
          <w:b/>
        </w:rPr>
        <w:t>L'accesso non riesce.</w:t>
      </w:r>
      <w:r>
        <w:t xml:space="preserve"> Verificare l'utilizzo delle corrette credenziali aziendali. Se il problema persiste, contattare il referente della propria struttura.</w:t>
      </w:r>
    </w:p>
    <w:p>
      <w:r>
        <w:t>▶ Pagina successiva: Ruoli e accessi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