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 Ruoli e accessi</w:t>
      </w:r>
    </w:p>
    <w:p>
      <w:r>
        <w:t>◀ Torna all'indice</w:t>
      </w:r>
    </w:p>
    <w:p>
      <w:r>
        <w:t>La presente sezione descrive i profili di accesso e il relativo ambito di visibilità dei dati.</w:t>
      </w:r>
    </w:p>
    <w:p>
      <w:pPr>
        <w:pStyle w:val="Heading2"/>
      </w:pPr>
      <w:r>
        <w:t>2.1 Modalità di accesso</w:t>
      </w:r>
    </w:p>
    <w:p>
      <w:r>
        <w:t>L'accesso avviene con le credenziali aziendali tramite il sistema di autenticazione centralizzato (single sign-on). Non sono previste password dedicate al cruscotto: si utilizza il medesimo accesso degli altri servizi interni.</w:t>
      </w:r>
    </w:p>
    <w:p>
      <w:pPr>
        <w:pStyle w:val="Heading2"/>
      </w:pPr>
      <w:r>
        <w:t>2.2 Profili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Profilo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Vista di tutti gli enti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Accesso all'amministrazione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:---: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:---: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Utente DFP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Sì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Utente DFP con privilegi di amministrazione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Sì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Sì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Responsabile di ente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Solo gli enti abilitati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Non abilitato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Nessun accesso: schermata dedicata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</w:tr>
    </w:tbl>
    <w:p/>
    <w:p>
      <w:r>
        <w:t>L'</w:t>
      </w:r>
      <w:r>
        <w:rPr>
          <w:b/>
        </w:rPr>
        <w:t>Utente DFP</w:t>
      </w:r>
      <w:r>
        <w:t xml:space="preserve"> dispone della vista globale su tutti gli enti in sola consultazione. L'accesso al pannello di amministrazione richiede, in aggiunta, i </w:t>
      </w:r>
      <w:r>
        <w:rPr>
          <w:b/>
        </w:rPr>
        <w:t>privilegi di amministrazione</w:t>
      </w:r>
      <w:r>
        <w:t>: l'utente DFP che ne è privo non visualizza né può raggiungere l'area di gestione.</w:t>
      </w:r>
    </w:p>
    <w:p>
      <w:pPr>
        <w:pStyle w:val="Heading2"/>
      </w:pPr>
      <w:r>
        <w:t>2.3 Perimetro dei dati</w:t>
      </w:r>
    </w:p>
    <w:p>
      <w:r>
        <w:t>Ciascun utente visualizza esclusivamente i dati di propria competenza. Tale perimetro viene determinato automaticamente in fase di accesso, sulla base delle abilitazioni associate all'utente, e non è modificabile dall'utente stesso.</w:t>
      </w:r>
    </w:p>
    <w:p>
      <w:pPr>
        <w:pStyle w:val="ListBullet"/>
      </w:pPr>
      <w:r>
        <w:t xml:space="preserve">Il responsabile abilitato a </w:t>
      </w:r>
      <w:r>
        <w:rPr>
          <w:b/>
        </w:rPr>
        <w:t>un solo ente</w:t>
      </w:r>
      <w:r>
        <w:t xml:space="preserve"> ne visualizza direttamente i dati; il nome dell'ente è sempre indicato a destra nella barra dei filtri («Ente»).</w:t>
      </w:r>
    </w:p>
    <w:p>
      <w:pPr>
        <w:pStyle w:val="ListBullet"/>
      </w:pPr>
      <w:r>
        <w:t xml:space="preserve">Il responsabile abilitato a </w:t>
      </w:r>
      <w:r>
        <w:rPr>
          <w:b/>
        </w:rPr>
        <w:t>più enti</w:t>
      </w:r>
      <w:r>
        <w:t xml:space="preserve"> li alterna con il menu «Ente», sempre a destra nella barra dei filtri di ogni area attiva: Conto Annuale, Vista Sintetica, Vista Executive e SIPrO.</w:t>
      </w:r>
    </w:p>
    <w:p>
      <w:pPr>
        <w:pStyle w:val="ListBullet"/>
      </w:pPr>
      <w:r>
        <w:t>L'utente DFP, con o senza privilegi di amministrazione, non è soggetto a limitazioni di perimetro e visualizza i dati di tutti gli enti.</w:t>
      </w:r>
    </w:p>
    <w:p>
      <w:pPr>
        <w:pStyle w:val="Heading2"/>
      </w:pPr>
      <w:r>
        <w:t>2.4 Regole particolari per il SIPrO</w:t>
      </w:r>
    </w:p>
    <w:p>
      <w:r>
        <w:t>Per i responsabili di ente valgono regole aggiuntive:</w:t>
      </w:r>
    </w:p>
    <w:p>
      <w:pPr>
        <w:pStyle w:val="ListBullet"/>
      </w:pPr>
      <w:r>
        <w:t xml:space="preserve">se l'ente selezionato </w:t>
      </w:r>
      <w:r>
        <w:rPr>
          <w:b/>
        </w:rPr>
        <w:t>non è accreditato in SIPrO</w:t>
      </w:r>
      <w:r>
        <w:t>, nessun dato SIPrO è visibile e compare l'avviso «Ente non accreditato in SIPrO»;</w:t>
      </w:r>
    </w:p>
    <w:p>
      <w:pPr>
        <w:pStyle w:val="ListBullet"/>
      </w:pPr>
      <w:r>
        <w:t xml:space="preserve">se l'ente è accreditato, i filtri </w:t>
      </w:r>
      <w:r>
        <w:rPr>
          <w:b/>
        </w:rPr>
        <w:t>Ente</w:t>
      </w:r>
      <w:r>
        <w:t xml:space="preserve"> e </w:t>
      </w:r>
      <w:r>
        <w:rPr>
          <w:b/>
        </w:rPr>
        <w:t>Regione</w:t>
      </w:r>
      <w:r>
        <w:t xml:space="preserve"> sono applicati direttamente e bloccati: la regione dell'ente compare con il simbolo del lucchetto e le altre regioni non sono consultabili;</w:t>
      </w:r>
    </w:p>
    <w:p>
      <w:pPr>
        <w:pStyle w:val="ListBullet"/>
      </w:pPr>
      <w:r>
        <w:t xml:space="preserve">nel </w:t>
      </w:r>
      <w:r>
        <w:rPr>
          <w:b/>
        </w:rPr>
        <w:t>Benchmark</w:t>
      </w:r>
      <w:r>
        <w:t xml:space="preserve"> la regione è fissata a quella dell'ente e il confronto è possibile solo tra enti della stessa regione.</w:t>
      </w:r>
    </w:p>
    <w:p>
      <w:r>
        <w:t>Per gli utenti DFP il Benchmark propone all'avvio tre enti; quando si sceglie una regione, vengono tolti dal confronto gli enti che non vi appartengono.</w:t>
      </w:r>
    </w:p>
    <w:p>
      <w:pPr>
        <w:pStyle w:val="Heading2"/>
      </w:pPr>
      <w:r>
        <w:t>2.5 Regole particolari per i KPI Riforma PA</w:t>
      </w:r>
    </w:p>
    <w:p>
      <w:r>
        <w:t>I KPI sono dati aggregati, ma sono riservati agli enti che partecipano alla rilevazione:</w:t>
      </w:r>
    </w:p>
    <w:p>
      <w:pPr>
        <w:pStyle w:val="ListBullet"/>
      </w:pPr>
      <w:r>
        <w:t>il controllo usa l'elenco degli enti partecipanti alla rilevazione 2024, che vale come riferimento per tutti gli anni (alcuni dati sono disponibili solo come totale degli enti);</w:t>
      </w:r>
    </w:p>
    <w:p>
      <w:pPr>
        <w:pStyle w:val="ListBullet"/>
      </w:pPr>
      <w:r>
        <w:t xml:space="preserve">il responsabile di un ente </w:t>
      </w:r>
      <w:r>
        <w:rPr>
          <w:b/>
        </w:rPr>
        <w:t>non partecipante</w:t>
      </w:r>
      <w:r>
        <w:t xml:space="preserve"> non vede i KPI e compare l'avviso «Ente non partecipante alla rilevazione KPI»;</w:t>
      </w:r>
    </w:p>
    <w:p>
      <w:pPr>
        <w:pStyle w:val="ListBullet"/>
      </w:pPr>
      <w:r>
        <w:t>se è abilitato anche ad altri enti partecipanti, può selezionarne uno dal menu «Ente»;</w:t>
      </w:r>
    </w:p>
    <w:p>
      <w:pPr>
        <w:pStyle w:val="ListBullet"/>
      </w:pPr>
      <w:r>
        <w:t>se la verifica non è momentaneamente disponibile, i dati restano visibili;</w:t>
      </w:r>
    </w:p>
    <w:p>
      <w:pPr>
        <w:pStyle w:val="ListBullet"/>
      </w:pPr>
      <w:r>
        <w:t>gli utenti DFP non sono soggetti a questa regola.</w:t>
      </w:r>
    </w:p>
    <w:p>
      <w:pPr>
        <w:pStyle w:val="Heading2"/>
      </w:pPr>
      <w:r>
        <w:t>2.6 Sicurezza degli accessi</w:t>
      </w:r>
    </w:p>
    <w:p>
      <w:pPr>
        <w:pStyle w:val="ListBullet"/>
      </w:pPr>
      <w:r>
        <w:t>La gestione delle autorizzazioni è centralizzata: l'abilitazione o la disabilitazione di un utente compete ai referenti degli accessi.</w:t>
      </w:r>
    </w:p>
    <w:p>
      <w:pPr>
        <w:pStyle w:val="ListBullet"/>
      </w:pPr>
      <w:r>
        <w:t>L'isolamento tra enti è garantito su più livelli, in modo che ciascun utente resti nel proprio perimetro.</w:t>
      </w:r>
    </w:p>
    <w:p>
      <w:pPr>
        <w:pStyle w:val="ListBullet"/>
      </w:pPr>
      <w:r>
        <w:t>I privilegi di amministrazione sono distinti dalla vista globale: la sola vista su tutti gli enti (profilo DFP) non abilita l'accesso all'area di gestione.</w:t>
      </w:r>
    </w:p>
    <w:p>
      <w:pPr>
        <w:pStyle w:val="ListBullet"/>
      </w:pPr>
      <w:r>
        <w:t>Gli accessi e le attività principali sono registrati a fini di monitoraggio.</w:t>
      </w:r>
    </w:p>
    <w:p>
      <w:r>
        <w:rPr>
          <w:i/>
        </w:rPr>
        <w:t>Per un quadro d'insieme si rimanda a Funzionamento e sicurezza.</w:t>
      </w:r>
    </w:p>
    <w:p>
      <w:r>
        <w:t>▶ Pagina successiva: Pannello di gestione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