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 Stato e attività</w:t>
      </w:r>
    </w:p>
    <w:p>
      <w:r>
        <w:t>◀ Torna all'indice</w:t>
      </w:r>
    </w:p>
    <w:p>
      <w:r>
        <w:t>La presente pagina costituisce un documento di monitoraggio, da aggiornare con il procedere delle attività. Riepiloga quanto realizzato, quanto in corso e quanto ancora da svolgere o da verificare.</w:t>
      </w:r>
    </w:p>
    <w:p>
      <w:r>
        <w:rPr>
          <w:i/>
        </w:rPr>
        <w:t>Modalità di aggiornamento: spostare le voci tra le sezioni (Da fare → In corso → Da</w:t>
      </w:r>
    </w:p>
    <w:p>
      <w:r>
        <w:rPr>
          <w:i/>
        </w:rPr>
        <w:t>testare → Completato) e aggiornare la data seguente.</w:t>
      </w:r>
    </w:p>
    <w:p>
      <w:r>
        <w:t>&gt;</w:t>
      </w:r>
    </w:p>
    <w:p>
      <w:r>
        <w:rPr>
          <w:b/>
          <w:i/>
        </w:rPr>
        <w:t>Ultimo aggiornamento:</w:t>
      </w:r>
      <w:r>
        <w:rPr>
          <w:i/>
        </w:rPr>
        <w:t xml:space="preserve"> 13/10/2026</w:t>
      </w:r>
    </w:p>
    <w:p>
      <w:pPr>
        <w:pStyle w:val="Heading2"/>
      </w:pPr>
      <w:r>
        <w:t>📦 Release in rilascio — Indici con score, KPI Riforma PA e gestione degli enti</w:t>
      </w:r>
    </w:p>
    <w:p>
      <w:r>
        <w:rPr>
          <w:b/>
        </w:rPr>
        <w:t>Vista Sintetica con dati reali</w:t>
      </w:r>
    </w:p>
    <w:p>
      <w:pPr>
        <w:pStyle w:val="ListBullet"/>
      </w:pPr>
      <w:r>
        <w:t xml:space="preserve">Le dimensioni </w:t>
      </w:r>
      <w:r>
        <w:rPr>
          <w:b/>
        </w:rPr>
        <w:t>D2 · Programmazione del fabbisogno</w:t>
      </w:r>
      <w:r>
        <w:t xml:space="preserve">, </w:t>
      </w:r>
      <w:r>
        <w:rPr>
          <w:b/>
        </w:rPr>
        <w:t>D4 · Sviluppo professionale</w:t>
      </w:r>
      <w:r>
        <w:t xml:space="preserve">, </w:t>
      </w:r>
      <w:r>
        <w:rPr>
          <w:b/>
        </w:rPr>
        <w:t>D5 · Rewarding e carriera</w:t>
      </w:r>
      <w:r>
        <w:t xml:space="preserve"> e </w:t>
      </w:r>
      <w:r>
        <w:rPr>
          <w:b/>
        </w:rPr>
        <w:t>D6 · Capacity building e performance</w:t>
      </w:r>
      <w:r>
        <w:t xml:space="preserve"> mostrano i dati reali.</w:t>
      </w:r>
    </w:p>
    <w:p>
      <w:pPr>
        <w:pStyle w:val="ListBullet"/>
      </w:pPr>
      <w:r>
        <w:t xml:space="preserve">Ogni indice ha uno </w:t>
      </w:r>
      <w:r>
        <w:rPr>
          <w:b/>
        </w:rPr>
        <w:t>score da 0 a 100</w:t>
      </w:r>
      <w:r>
        <w:t xml:space="preserve">, senza «%», un </w:t>
      </w:r>
      <w:r>
        <w:rPr>
          <w:b/>
        </w:rPr>
        <w:t>giudizio</w:t>
      </w:r>
      <w:r>
        <w:t xml:space="preserve"> (Basso · Moderato · Buono · Eccellente) e la variazione in punti rispetto all'anno precedente.</w:t>
      </w:r>
    </w:p>
    <w:p>
      <w:pPr>
        <w:pStyle w:val="ListBullet"/>
      </w:pPr>
      <w:r>
        <w:rPr>
          <w:b/>
        </w:rPr>
        <w:t>Nuova pagina di dimensione</w:t>
      </w:r>
      <w:r>
        <w:t>:</w:t>
      </w:r>
    </w:p>
    <w:p>
      <w:pPr>
        <w:pStyle w:val="ListBullet"/>
      </w:pPr>
      <w:r>
        <w:t>panoramica a barre;</w:t>
      </w:r>
    </w:p>
    <w:p>
      <w:pPr>
        <w:pStyle w:val="ListBullet"/>
      </w:pPr>
      <w:r>
        <w:t>indici di sintesi su righe da due e indici componenti su righe da tre, con le card allineate;</w:t>
      </w:r>
    </w:p>
    <w:p>
      <w:pPr>
        <w:pStyle w:val="ListBullet"/>
      </w:pPr>
      <w:r>
        <w:t xml:space="preserve">pannelli </w:t>
      </w:r>
      <w:r>
        <w:rPr>
          <w:b/>
        </w:rPr>
        <w:t>Scomposizione formula</w:t>
      </w:r>
      <w:r>
        <w:t xml:space="preserve">, </w:t>
      </w:r>
      <w:r>
        <w:rPr>
          <w:b/>
        </w:rPr>
        <w:t>Scheda metodologica</w:t>
      </w:r>
      <w:r>
        <w:t xml:space="preserve"> e </w:t>
      </w:r>
      <w:r>
        <w:rPr>
          <w:b/>
        </w:rPr>
        <w:t>Trend storico</w:t>
      </w:r>
      <w:r>
        <w:t>.</w:t>
      </w:r>
    </w:p>
    <w:p>
      <w:pPr>
        <w:pStyle w:val="ListBullet"/>
      </w:pPr>
      <w:r>
        <w:rPr>
          <w:b/>
        </w:rPr>
        <w:t>D6</w:t>
      </w:r>
      <w:r>
        <w:t xml:space="preserve">: 16 indici in quattro gruppi tematici, compresi i nuovi indici sui </w:t>
      </w:r>
      <w:r>
        <w:rPr>
          <w:b/>
        </w:rPr>
        <w:t>tassi di cessazione per genere (RTG)</w:t>
      </w:r>
      <w:r>
        <w:t xml:space="preserve">, sul </w:t>
      </w:r>
      <w:r>
        <w:rPr>
          <w:b/>
        </w:rPr>
        <w:t>ricambio per genere (RRG)</w:t>
      </w:r>
      <w:r>
        <w:t xml:space="preserve"> e sulla </w:t>
      </w:r>
      <w:r>
        <w:rPr>
          <w:b/>
        </w:rPr>
        <w:t>dinamica di genere del ricambio (IRIC)</w:t>
      </w:r>
      <w:r>
        <w:t>.</w:t>
      </w:r>
    </w:p>
    <w:p>
      <w:pPr>
        <w:pStyle w:val="ListBullet"/>
      </w:pPr>
      <w:r>
        <w:rPr>
          <w:b/>
        </w:rPr>
        <w:t>D4</w:t>
      </w:r>
      <w:r>
        <w:t xml:space="preserve">: gli indici di Minerva e Syllabus restano con </w:t>
      </w:r>
      <w:r>
        <w:rPr>
          <w:b/>
        </w:rPr>
        <w:t>dati mock-up</w:t>
      </w:r>
      <w:r>
        <w:t>, chiaramente segnalati; l'indice di intensità formativa media, non più previsto, è stato rimosso.</w:t>
      </w:r>
    </w:p>
    <w:p>
      <w:pPr>
        <w:pStyle w:val="ListBullet"/>
      </w:pPr>
      <w:r>
        <w:t>Filtri della pagina: Anno, Regione, Comparto ed Ente.</w:t>
      </w:r>
    </w:p>
    <w:p>
      <w:r>
        <w:rPr>
          <w:b/>
        </w:rPr>
        <w:t>Vista Executive</w:t>
      </w:r>
    </w:p>
    <w:p>
      <w:pPr>
        <w:pStyle w:val="ListBullet"/>
      </w:pPr>
      <w:r>
        <w:t xml:space="preserve">Nuova </w:t>
      </w:r>
      <w:r>
        <w:rPr>
          <w:b/>
        </w:rPr>
        <w:t>barra dei filtri</w:t>
      </w:r>
      <w:r>
        <w:t>, identica a quella della Vista Sintetica: Anno, Regione, Comparto ed Ente.</w:t>
      </w:r>
    </w:p>
    <w:p>
      <w:pPr>
        <w:pStyle w:val="ListBullet"/>
      </w:pPr>
      <w:r>
        <w:t>Le card di D2, D4, D5 e D6 mostrano gli score reali; tutte le card riportano lo score in scala 0–100.</w:t>
      </w:r>
    </w:p>
    <w:p>
      <w:pPr>
        <w:pStyle w:val="ListBullet"/>
      </w:pPr>
      <w:r>
        <w:rPr>
          <w:b/>
        </w:rPr>
        <w:t>D2, D4 e D5</w:t>
      </w:r>
      <w:r>
        <w:t xml:space="preserve"> seguono la gerarchia degli indici: riga con l'indice di sintesi e il riquadro «Come leggere questa dimensione», poi gli indici componenti su righe da tre.</w:t>
      </w:r>
    </w:p>
    <w:p>
      <w:pPr>
        <w:pStyle w:val="ListBullet"/>
      </w:pPr>
      <w:r>
        <w:rPr>
          <w:b/>
        </w:rPr>
        <w:t>D4</w:t>
      </w:r>
      <w:r>
        <w:t>: tre indici di sintesi (CGC, ISCP, IESF) e, sotto, i 9 componenti raggruppati per indice di sintesi (Gestione delle competenze · Minerva · Syllabus). I gruppi Minerva e Syllabus, interamente dimostrativi, riportano l'etichetta «Dati mock-up» sul titolo.</w:t>
      </w:r>
    </w:p>
    <w:p>
      <w:pPr>
        <w:pStyle w:val="ListBullet"/>
      </w:pPr>
      <w:r>
        <w:t>Rimosso il pulsante «Percorso guidato» dalle dimensioni; rimossi la tacca verticale dello score e il pulsante «Quadro Sinottico», non più previsti.</w:t>
      </w:r>
    </w:p>
    <w:p>
      <w:pPr>
        <w:pStyle w:val="ListBullet"/>
      </w:pPr>
      <w:r>
        <w:rPr>
          <w:b/>
        </w:rPr>
        <w:t>D1 e D3</w:t>
      </w:r>
      <w:r>
        <w:t xml:space="preserve"> non hanno ancora una fonte dati: la dimensione riporta una sola volta l'avviso «Dati a scopo dimostrativo», come nella Vista Sintetica. L'etichetta «Dati mock-up» sulle singole card compare solo quando nella dimensione convivono indici reali e dimostrativi (es. D4).</w:t>
      </w:r>
    </w:p>
    <w:p>
      <w:pPr>
        <w:pStyle w:val="ListBullet"/>
      </w:pPr>
      <w:r>
        <w:t>Rimossi i grafici in fondo alla pagina (KPI Success Rate per dimensione, Confronto target vs raggiunto, Matrice di posizionamento, Trend storico per pillar, Distribuzione KPI), basati su valori dimostrativi.</w:t>
      </w:r>
    </w:p>
    <w:p>
      <w:r>
        <w:rPr>
          <w:b/>
        </w:rPr>
        <w:t>KPI Riforma PA</w:t>
      </w:r>
    </w:p>
    <w:p>
      <w:pPr>
        <w:pStyle w:val="ListBullet"/>
      </w:pPr>
      <w:r>
        <w:t xml:space="preserve">La sezione presenta per ora la sola scheda </w:t>
      </w:r>
      <w:r>
        <w:rPr>
          <w:b/>
        </w:rPr>
        <w:t>«KPI Abilitanti e di Successo»</w:t>
      </w:r>
      <w:r>
        <w:t>, con dati reali; le schede «KPI Success Rate» e «Benchmark» sono nascoste e la parte «Indici compositi» è stata eliminata.</w:t>
      </w:r>
    </w:p>
    <w:p>
      <w:pPr>
        <w:pStyle w:val="ListBullet"/>
      </w:pPr>
      <w:r>
        <w:t>Unico filtro Anno; righe con codice, nome, unità di misura e valore a due decimali; dettaglio con tipo di sintesi e formula.</w:t>
      </w:r>
    </w:p>
    <w:p>
      <w:pPr>
        <w:pStyle w:val="ListBullet"/>
      </w:pPr>
      <w:r>
        <w:t xml:space="preserve">Nuove funzioni di </w:t>
      </w:r>
      <w:r>
        <w:rPr>
          <w:b/>
        </w:rPr>
        <w:t>ricerca</w:t>
      </w:r>
      <w:r>
        <w:t xml:space="preserve"> per codice o nome e di </w:t>
      </w:r>
      <w:r>
        <w:rPr>
          <w:b/>
        </w:rPr>
        <w:t>esportazione</w:t>
      </w:r>
      <w:r>
        <w:t xml:space="preserve"> di tutti i KPI dell'anno.</w:t>
      </w:r>
    </w:p>
    <w:p>
      <w:r>
        <w:rPr>
          <w:b/>
        </w:rPr>
        <w:t>Enti e perimetro</w:t>
      </w:r>
    </w:p>
    <w:p>
      <w:pPr>
        <w:pStyle w:val="ListBullet"/>
      </w:pPr>
      <w:r>
        <w:rPr>
          <w:b/>
        </w:rPr>
        <w:t>KPI Riforma PA</w:t>
      </w:r>
      <w:r>
        <w:t>: attivo il blocco per gli enti non partecipanti alla rilevazione (elenco di riferimento 2024, valido per tutti gli anni).</w:t>
      </w:r>
    </w:p>
    <w:p>
      <w:pPr>
        <w:pStyle w:val="ListBullet"/>
      </w:pPr>
      <w:r>
        <w:t xml:space="preserve">Il menu </w:t>
      </w:r>
      <w:r>
        <w:rPr>
          <w:b/>
        </w:rPr>
        <w:t>«Ente»</w:t>
      </w:r>
      <w:r>
        <w:t xml:space="preserve"> per gli utenti di ente è ora sempre visibile </w:t>
      </w:r>
      <w:r>
        <w:rPr>
          <w:b/>
        </w:rPr>
        <w:t>a destra nella barra dei filtri</w:t>
      </w:r>
      <w:r>
        <w:t xml:space="preserve"> di ogni area attiva; con un solo ente ne mostra il nome. La scelta resta valida anche ricaricando la pagina.</w:t>
      </w:r>
    </w:p>
    <w:p>
      <w:pPr>
        <w:pStyle w:val="ListBullet"/>
      </w:pPr>
      <w:r>
        <w:rPr>
          <w:b/>
        </w:rPr>
        <w:t>SIPrO</w:t>
      </w:r>
      <w:r>
        <w:t>: gli enti non accreditati non vedono i dati SIPrO; per gli enti accreditati Ente e Regione sono applicati e bloccati, senza accesso alle altre regioni.</w:t>
      </w:r>
    </w:p>
    <w:p>
      <w:pPr>
        <w:pStyle w:val="ListBullet"/>
      </w:pPr>
      <w:r>
        <w:rPr>
          <w:b/>
        </w:rPr>
        <w:t>Benchmark</w:t>
      </w:r>
      <w:r>
        <w:t>: al cambio di regione vengono tolti dal confronto gli enti che non vi appartengono, compresi i tre proposti all'avvio; per gli utenti di ente la regione è fissata a quella del proprio ente.</w:t>
      </w:r>
    </w:p>
    <w:p>
      <w:r>
        <w:rPr>
          <w:b/>
        </w:rPr>
        <w:t>Pannello di gestione</w:t>
      </w:r>
    </w:p>
    <w:p>
      <w:pPr>
        <w:pStyle w:val="ListBullet"/>
      </w:pPr>
      <w:r>
        <w:t xml:space="preserve">Area </w:t>
      </w:r>
      <w:r>
        <w:rPr>
          <w:b/>
        </w:rPr>
        <w:t>Schede</w:t>
      </w:r>
      <w:r>
        <w:t xml:space="preserve"> riorganizzata in gruppi (Conto Annuale, SIPrO, Indici Vista Sintetica, KPI Riforma PA), ciascuno con interruttore generale, sezioni e singole schede.</w:t>
      </w:r>
    </w:p>
    <w:p>
      <w:pPr>
        <w:pStyle w:val="ListBullet"/>
      </w:pPr>
      <w:r>
        <w:t xml:space="preserve">Nuove voci per attivare o disattivare </w:t>
      </w:r>
      <w:r>
        <w:rPr>
          <w:b/>
        </w:rPr>
        <w:t>ciascun indice</w:t>
      </w:r>
      <w:r>
        <w:t xml:space="preserve"> e la scheda </w:t>
      </w:r>
      <w:r>
        <w:rPr>
          <w:b/>
        </w:rPr>
        <w:t>KPI Riforma PA</w:t>
      </w:r>
      <w:r>
        <w:t>.</w:t>
      </w:r>
    </w:p>
    <w:p>
      <w:pPr>
        <w:pStyle w:val="ListBullet"/>
      </w:pPr>
      <w:r>
        <w:t>«Schede più consultate» include ora anche indici e KPI.</w:t>
      </w:r>
    </w:p>
    <w:p>
      <w:r>
        <w:rPr>
          <w:b/>
        </w:rPr>
        <w:t>Nota per il sistemista:</w:t>
      </w:r>
      <w:r>
        <w:t xml:space="preserve"> è prevista una predisposizione della base dati perché lo stato di attivazione di schede SIPrO, indici e KPI resti memorizzato in modo permanente.</w:t>
      </w:r>
    </w:p>
    <w:p>
      <w:pPr>
        <w:pStyle w:val="Heading2"/>
      </w:pPr>
      <w:r>
        <w:t>🟢 In corso</w:t>
      </w:r>
    </w:p>
    <w:p>
      <w:pPr>
        <w:pStyle w:val="ListBullet"/>
      </w:pPr>
      <w:r>
        <w:t>Consolidamento e verifica dei dati delle analisi già disponibili.</w:t>
      </w:r>
    </w:p>
    <w:p>
      <w:pPr>
        <w:pStyle w:val="ListBullet"/>
      </w:pPr>
      <w:r>
        <w:t>Verifica con il committente dei valori degli indici delle dimensioni D2, D4, D5 e D6.</w:t>
      </w:r>
    </w:p>
    <w:p>
      <w:pPr>
        <w:pStyle w:val="Heading2"/>
      </w:pPr>
      <w:r>
        <w:t>🟡 Da fare</w:t>
      </w:r>
    </w:p>
    <w:p>
      <w:pPr>
        <w:pStyle w:val="ListBullet"/>
      </w:pPr>
      <w:r>
        <w:rPr>
          <w:b/>
        </w:rPr>
        <w:t>D1 e D3 con dati reali</w:t>
      </w:r>
      <w:r>
        <w:t>, in sostituzione dei dati dimostrativi.</w:t>
      </w:r>
    </w:p>
    <w:p>
      <w:pPr>
        <w:pStyle w:val="ListBullet"/>
      </w:pPr>
      <w:r>
        <w:rPr>
          <w:b/>
        </w:rPr>
        <w:t>Indici di Minerva e Syllabus (D4)</w:t>
      </w:r>
      <w:r>
        <w:t xml:space="preserve"> con dati reali, appena disponibili le fonti.</w:t>
      </w:r>
    </w:p>
    <w:p>
      <w:pPr>
        <w:pStyle w:val="ListBullet"/>
      </w:pPr>
      <w:r>
        <w:rPr>
          <w:b/>
        </w:rPr>
        <w:t>Titolo definitivo</w:t>
      </w:r>
      <w:r>
        <w:t xml:space="preserve"> della scheda KPI Abilitanti e di Successo.</w:t>
      </w:r>
    </w:p>
    <w:p>
      <w:pPr>
        <w:pStyle w:val="ListBullet"/>
      </w:pPr>
      <w:r>
        <w:rPr>
          <w:b/>
        </w:rPr>
        <w:t>Accessibilità</w:t>
      </w:r>
      <w:r>
        <w:t>: completate le Fasi 0, 1 e 3 (contrasti, tastiera, tabelle dei grafici, PDF accessibili); da pubblicare la Dichiarazione di accessibilità (Fase 2) — vedi Accessibilità.</w:t>
      </w:r>
    </w:p>
    <w:p>
      <w:pPr>
        <w:pStyle w:val="Heading2"/>
      </w:pPr>
      <w:r>
        <w:t>🔵 Da testare / verificare</w:t>
      </w:r>
    </w:p>
    <w:p>
      <w:pPr>
        <w:pStyle w:val="ListBullet"/>
      </w:pPr>
      <w:r>
        <w:t>Accesso con i diversi profili (amministratore, utente DFP, responsabile di ente).</w:t>
      </w:r>
    </w:p>
    <w:p>
      <w:pPr>
        <w:pStyle w:val="ListBullet"/>
      </w:pPr>
      <w:r>
        <w:t>Corretto isolamento dei dati tra enti distinti, anche nel SIPrO (ente accreditato e non).</w:t>
      </w:r>
    </w:p>
    <w:p>
      <w:pPr>
        <w:pStyle w:val="ListBullet"/>
      </w:pPr>
      <w:r>
        <w:t>Cambio ente per gli utenti abilitati a più enti, in tutte le aree.</w:t>
      </w:r>
    </w:p>
    <w:p>
      <w:pPr>
        <w:pStyle w:val="ListBullet"/>
      </w:pPr>
      <w:r>
        <w:t>Attivazione e disattivazione di schede e indici dal pannello di gestione, dopo la predisposizione della base dati.</w:t>
      </w:r>
    </w:p>
    <w:p>
      <w:pPr>
        <w:pStyle w:val="ListBullet"/>
      </w:pPr>
      <w:r>
        <w:t>Coerenza degli score tra Vista Executive e Vista Sintetica al variare dei filtri.</w:t>
      </w:r>
    </w:p>
    <w:p>
      <w:pPr>
        <w:pStyle w:val="ListBullet"/>
      </w:pPr>
      <w:r>
        <w:t>Ricezione dell'avviso di aggiornamento e ricarica alla nuova versione.</w:t>
      </w:r>
    </w:p>
    <w:p>
      <w:pPr>
        <w:pStyle w:val="Heading2"/>
      </w:pPr>
      <w:r>
        <w:t>📦 Release precedente — SIPrO completo, esportazioni e nuovi grafici</w:t>
      </w:r>
    </w:p>
    <w:p>
      <w:pPr>
        <w:pStyle w:val="ListBullet"/>
      </w:pPr>
      <w:r>
        <w:rPr>
          <w:b/>
        </w:rPr>
        <w:t>SIPrO con dati reali</w:t>
      </w:r>
      <w:r>
        <w:t xml:space="preserve"> in tutte le sezioni: Organizzazione, Processi, Profili e Cataloghi e Benchmark tra enti; impaginazione adattiva e menu SIPrO raggruppato.</w:t>
      </w:r>
    </w:p>
    <w:p>
      <w:pPr>
        <w:pStyle w:val="ListBullet"/>
      </w:pPr>
      <w:r>
        <w:rPr>
          <w:b/>
        </w:rPr>
        <w:t>Pannello di gestione</w:t>
      </w:r>
      <w:r>
        <w:t>: attivazione delle schede estesa al SIPrO, grafico «Schede più consultate» alimentato, voce «Pannello Admin» protetta.</w:t>
      </w:r>
    </w:p>
    <w:p>
      <w:pPr>
        <w:pStyle w:val="ListBullet"/>
      </w:pPr>
      <w:r>
        <w:rPr>
          <w:b/>
        </w:rPr>
        <w:t>Anno di riferimento automatico</w:t>
      </w:r>
      <w:r>
        <w:t>: viene proposto l'ultimo anno disponibile nei dati.</w:t>
      </w:r>
    </w:p>
    <w:p>
      <w:pPr>
        <w:pStyle w:val="ListBullet"/>
      </w:pPr>
      <w:r>
        <w:rPr>
          <w:b/>
        </w:rPr>
        <w:t>Numero di enti del Benchmark</w:t>
      </w:r>
      <w:r>
        <w:t xml:space="preserve"> configurabile senza nuovi rilasci.</w:t>
      </w:r>
    </w:p>
    <w:p>
      <w:pPr>
        <w:pStyle w:val="ListBullet"/>
      </w:pPr>
      <w:r>
        <w:rPr>
          <w:b/>
        </w:rPr>
        <w:t>Esportazione</w:t>
      </w:r>
      <w:r>
        <w:t xml:space="preserve"> di ogni tabella in CSV, Excel e PDF, con tutti i dati.</w:t>
      </w:r>
    </w:p>
    <w:p>
      <w:pPr>
        <w:pStyle w:val="ListBullet"/>
      </w:pPr>
      <w:r>
        <w:rPr>
          <w:b/>
        </w:rPr>
        <w:t>Grafici più leggibili</w:t>
      </w:r>
      <w:r>
        <w:t>: le torte sono state sostituite da barre ordinate e barre impilate.</w:t>
      </w:r>
    </w:p>
    <w:p>
      <w:pPr>
        <w:pStyle w:val="ListBullet"/>
      </w:pPr>
      <w:r>
        <w:rPr>
          <w:b/>
        </w:rPr>
        <w:t>Ricerca ente</w:t>
      </w:r>
      <w:r>
        <w:t xml:space="preserve"> rimossa per l'amministratore, che vede il dato aggregato; rimossa la scheda «Fabbisogno per Profilo».</w:t>
      </w:r>
    </w:p>
    <w:p>
      <w:pPr>
        <w:pStyle w:val="ListBullet"/>
      </w:pPr>
      <w:r>
        <w:rPr>
          <w:b/>
        </w:rPr>
        <w:t>Correzioni</w:t>
      </w:r>
      <w:r>
        <w:t>: valori mancanti mostrati come 0, rimosso un pulsante di esportazione non funzionante.</w:t>
      </w:r>
    </w:p>
    <w:p>
      <w:pPr>
        <w:pStyle w:val="Heading2"/>
      </w:pPr>
      <w:r>
        <w:t>📦 Rilascio del 25/09/2026</w:t>
      </w:r>
    </w:p>
    <w:p>
      <w:pPr>
        <w:pStyle w:val="ListBullet"/>
      </w:pPr>
      <w:r>
        <w:t xml:space="preserve">Attivato lo </w:t>
      </w:r>
      <w:r>
        <w:rPr>
          <w:b/>
        </w:rPr>
        <w:t>strato di protezione dei dati</w:t>
      </w:r>
      <w:r>
        <w:t xml:space="preserve"> tra applicazione e base dati.</w:t>
      </w:r>
    </w:p>
    <w:p>
      <w:pPr>
        <w:pStyle w:val="ListBullet"/>
      </w:pPr>
      <w:r>
        <w:rPr>
          <w:b/>
        </w:rPr>
        <w:t>Accesso aziendale</w:t>
      </w:r>
      <w:r>
        <w:t xml:space="preserve"> stabile e separazione tra utente DFP e amministratore: la vista su tutti gli enti non dà accesso al pannello di gestione.</w:t>
      </w:r>
    </w:p>
    <w:p>
      <w:pPr>
        <w:pStyle w:val="ListBullet"/>
      </w:pPr>
      <w:r>
        <w:rPr>
          <w:b/>
        </w:rPr>
        <w:t>Pannello di gestione operativo</w:t>
      </w:r>
      <w:r>
        <w:t>: attivazione schede, statistiche d'uso e registri.</w:t>
      </w:r>
    </w:p>
    <w:p>
      <w:pPr>
        <w:pStyle w:val="ListBullet"/>
      </w:pPr>
      <w:r>
        <w:t>Migliorie di avvio, caratteri e icona dell'applicazione.</w:t>
      </w:r>
    </w:p>
    <w:p>
      <w:pPr>
        <w:pStyle w:val="Heading2"/>
      </w:pPr>
      <w:r>
        <w:t>✅ Completato</w:t>
      </w:r>
    </w:p>
    <w:p>
      <w:pPr>
        <w:pStyle w:val="ListBullet"/>
      </w:pPr>
      <w:r>
        <w:t>Interfaccia con schede, grafici, tabelle e filtri dinamici.</w:t>
      </w:r>
    </w:p>
    <w:p>
      <w:pPr>
        <w:pStyle w:val="ListBullet"/>
      </w:pPr>
      <w:r>
        <w:t>Accesso tramite credenziali aziendali (single sign-on) con controllo delle autorizzazioni.</w:t>
      </w:r>
    </w:p>
    <w:p>
      <w:pPr>
        <w:pStyle w:val="ListBullet"/>
      </w:pPr>
      <w:r>
        <w:t>Visualizzazione dei soli dati di competenza (perimetro per ente), con ente sempre indicato nella barra dei filtri.</w:t>
      </w:r>
    </w:p>
    <w:p>
      <w:pPr>
        <w:pStyle w:val="ListBullet"/>
      </w:pPr>
      <w:r>
        <w:t>Conto Annuale, SIPrO, indici delle dimensioni D2, D4, D5, D6 e KPI Riforma PA con dati reali.</w:t>
      </w:r>
    </w:p>
    <w:p>
      <w:pPr>
        <w:pStyle w:val="ListBullet"/>
      </w:pPr>
      <w:r>
        <w:t>Pannello di gestione per l'attivazione di schede e indici e la consultazione di statistiche e registri.</w:t>
      </w:r>
    </w:p>
    <w:p>
      <w:pPr>
        <w:pStyle w:val="ListBullet"/>
      </w:pPr>
      <w:r>
        <w:t>Meccanismo di aggiornamento sicuro delle versioni.</w:t>
      </w:r>
    </w:p>
    <w:p>
      <w:pPr>
        <w:pStyle w:val="ListBullet"/>
      </w:pPr>
      <w:r>
        <w:t>Schermata dedicata per gli utenti non abilitati.</w:t>
      </w:r>
    </w:p>
    <w:p>
      <w:pPr>
        <w:pStyle w:val="Heading2"/>
      </w:pPr>
      <w:r>
        <w:t>Segnalazione di problemi e proposte di miglioramento</w:t>
      </w:r>
    </w:p>
    <w:p>
      <w:pPr>
        <w:pStyle w:val="ListNumber"/>
      </w:pPr>
      <w:r>
        <w:t>Descrivere l'attività in corso al momento del problema e l'esito riscontrato.</w:t>
      </w:r>
    </w:p>
    <w:p>
      <w:pPr>
        <w:pStyle w:val="ListNumber"/>
      </w:pPr>
      <w:r>
        <w:t>Indicare, ove possibile, la scheda o la sezione interessata e i filtri attivi.</w:t>
      </w:r>
    </w:p>
    <w:p>
      <w:pPr>
        <w:pStyle w:val="ListNumber"/>
      </w:pPr>
      <w:r>
        <w:t>Allegare eventuali immagini della schermata.</w:t>
      </w:r>
    </w:p>
    <w:p>
      <w:pPr>
        <w:pStyle w:val="ListNumber"/>
      </w:pPr>
      <w:r>
        <w:t>Trasmettere la segnalazione al referente del progetto, che provvederà a inserirla nell'elenco soprastante.</w:t>
      </w:r>
    </w:p>
    <w:p>
      <w:r>
        <w:t>◀ Torna all'indice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