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7. Indici e KPI</w:t>
      </w:r>
    </w:p>
    <w:p>
      <w:r>
        <w:t>◀ Torna all'indice</w:t>
      </w:r>
    </w:p>
    <w:p>
      <w:r>
        <w:t>La presente pagina spiega come leggere gli indici delle sei dimensioni, nella Vista Executive e nella Vista Sintetica, e i KPI della Riforma PA.</w:t>
      </w:r>
    </w:p>
    <w:p>
      <w:pPr>
        <w:pStyle w:val="Heading2"/>
      </w:pPr>
      <w:r>
        <w:t>7.1 Lo score e il giudizio</w:t>
      </w:r>
    </w:p>
    <w:p>
      <w:r>
        <w:t xml:space="preserve">Ogni indice è espresso con uno </w:t>
      </w:r>
      <w:r>
        <w:rPr>
          <w:b/>
        </w:rPr>
        <w:t>score da 0 a 100</w:t>
      </w:r>
      <w:r>
        <w:t xml:space="preserve">, che rende confrontabili misure diverse (quote, rapporti, variazioni, giornate di formazione…). Lo score </w:t>
      </w:r>
      <w:r>
        <w:rPr>
          <w:b/>
        </w:rPr>
        <w:t>non è una percentuale</w:t>
      </w:r>
      <w:r>
        <w:t xml:space="preserve"> e viene mostrato senza il simbolo «%».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Giudizio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Score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Basso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da 0 a 24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Moderato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da 25 a 49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Buono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da 50 a 74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Eccellente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da 75 a 100</w:t>
            </w:r>
          </w:p>
        </w:tc>
      </w:tr>
    </w:tbl>
    <w:p/>
    <w:p>
      <w:r>
        <w:t xml:space="preserve">Accanto allo score è indicata la </w:t>
      </w:r>
      <w:r>
        <w:rPr>
          <w:b/>
        </w:rPr>
        <w:t>variazione in punti</w:t>
      </w:r>
      <w:r>
        <w:t xml:space="preserve"> rispetto all'anno precedente, ad esempio «+3 punti vs 2023».</w:t>
      </w:r>
    </w:p>
    <w:p>
      <w:pPr>
        <w:pStyle w:val="Heading2"/>
      </w:pPr>
      <w:r>
        <w:t>7.2 Vista Executive</w:t>
      </w:r>
    </w:p>
    <w:p>
      <w:r>
        <w:t xml:space="preserve">È il quadro d'insieme delle sei dimensioni (D1–D6). In alto si trovano gli stessi filtri della Vista Sintetica: </w:t>
      </w:r>
      <w:r>
        <w:rPr>
          <w:b/>
        </w:rPr>
        <w:t>Anno</w:t>
      </w:r>
      <w:r>
        <w:t xml:space="preserve">, </w:t>
      </w:r>
      <w:r>
        <w:rPr>
          <w:b/>
        </w:rPr>
        <w:t>Regione</w:t>
      </w:r>
      <w:r>
        <w:t xml:space="preserve">, </w:t>
      </w:r>
      <w:r>
        <w:rPr>
          <w:b/>
        </w:rPr>
        <w:t>Comparto</w:t>
      </w:r>
      <w:r>
        <w:t xml:space="preserve"> e, per gli utenti di ente, l'</w:t>
      </w:r>
      <w:r>
        <w:rPr>
          <w:b/>
        </w:rPr>
        <w:t>Ente</w:t>
      </w:r>
      <w:r>
        <w:t xml:space="preserve"> a destra. Modificando i filtri gli score si aggiornano. Per ogni dimensione sono mostrate le card dei suoi indici, con score, giudizio, una breve lettura e i collegamenti con le altre dimensioni. Il pulsante </w:t>
      </w:r>
      <w:r>
        <w:rPr>
          <w:b/>
        </w:rPr>
        <w:t>«Approfondisci»</w:t>
      </w:r>
      <w:r>
        <w:t xml:space="preserve"> porta alla Vista Sintetica della dimensione.</w:t>
      </w:r>
    </w:p>
    <w:p>
      <w:r>
        <w:t xml:space="preserve">Per la </w:t>
      </w:r>
      <w:r>
        <w:rPr>
          <w:b/>
        </w:rPr>
        <w:t>D2</w:t>
      </w:r>
      <w:r>
        <w:t xml:space="preserve"> e la </w:t>
      </w:r>
      <w:r>
        <w:rPr>
          <w:b/>
        </w:rPr>
        <w:t>D5</w:t>
      </w:r>
      <w:r>
        <w:t xml:space="preserve"> la disposizione segue la gerarchia degli indici:</w:t>
      </w:r>
    </w:p>
    <w:p>
      <w:pPr>
        <w:pStyle w:val="ListNumber"/>
      </w:pPr>
      <w:r>
        <w:t xml:space="preserve">prima la riga </w:t>
      </w:r>
      <w:r>
        <w:rPr>
          <w:b/>
        </w:rPr>
        <w:t>«Indice di sintesi»</w:t>
      </w:r>
      <w:r>
        <w:t xml:space="preserve">, con la card dell'indice di sintesi (IGF per la D2, IDC per la D5) e il riquadro «Come leggere questa dimensione». La card di sintesi riporta il riquadro </w:t>
      </w:r>
      <w:r>
        <w:rPr>
          <w:b/>
        </w:rPr>
        <w:t>«Composto da»</w:t>
      </w:r>
      <w:r>
        <w:t xml:space="preserve"> con lo score di ciascun componente;</w:t>
      </w:r>
    </w:p>
    <w:p>
      <w:pPr>
        <w:pStyle w:val="ListNumber"/>
      </w:pPr>
      <w:r>
        <w:t xml:space="preserve">subito dopo, su righe da tre, gli </w:t>
      </w:r>
      <w:r>
        <w:rPr>
          <w:b/>
        </w:rPr>
        <w:t>«Indici componenti»</w:t>
      </w:r>
      <w:r>
        <w:t>.</w:t>
      </w:r>
    </w:p>
    <w:p>
      <w:pPr>
        <w:pStyle w:val="Heading2"/>
      </w:pPr>
      <w:r>
        <w:t>7.3 Vista Sintetica</w:t>
      </w:r>
    </w:p>
    <w:p>
      <w:r>
        <w:t xml:space="preserve">È la pagina di dettaglio di una dimensione. In alto si trovano i filtri (Anno, Regione, Comparto e, per gli utenti di ente, l'Ente) e la </w:t>
      </w:r>
      <w:r>
        <w:rPr>
          <w:b/>
        </w:rPr>
        <w:t>panoramica</w:t>
      </w:r>
      <w:r>
        <w:t>: una barra per ciascun indice, colorata secondo il giudizio. Cliccando una barra si raggiunge la card corrispondente.</w:t>
      </w:r>
    </w:p>
    <w:p>
      <w:r>
        <w:t>Seguono le card: gli indici di sintesi su righe da due, gli indici componenti su righe da tre. Le card della stessa riga sono allineate tra loro. Ogni card riporta:</w:t>
      </w:r>
    </w:p>
    <w:p>
      <w:pPr>
        <w:pStyle w:val="ListBullet"/>
      </w:pPr>
      <w:r>
        <w:t>codice e nome dell'indice, la fonte e la dimensione di appartenenza;</w:t>
      </w:r>
    </w:p>
    <w:p>
      <w:pPr>
        <w:pStyle w:val="ListBullet"/>
      </w:pPr>
      <w:r>
        <w:t xml:space="preserve">lo </w:t>
      </w:r>
      <w:r>
        <w:rPr>
          <w:b/>
        </w:rPr>
        <w:t>score</w:t>
      </w:r>
      <w:r>
        <w:t xml:space="preserve"> con il relativo indicatore grafico, la variazione e il </w:t>
      </w:r>
      <w:r>
        <w:rPr>
          <w:b/>
        </w:rPr>
        <w:t>giudizio</w:t>
      </w:r>
      <w:r>
        <w:t>;</w:t>
      </w:r>
    </w:p>
    <w:p>
      <w:pPr>
        <w:pStyle w:val="ListBullet"/>
      </w:pPr>
      <w:r>
        <w:t xml:space="preserve">il valore dell'indice e la </w:t>
      </w:r>
      <w:r>
        <w:rPr>
          <w:b/>
        </w:rPr>
        <w:t>formula</w:t>
      </w:r>
      <w:r>
        <w:t>;</w:t>
      </w:r>
    </w:p>
    <w:p>
      <w:pPr>
        <w:pStyle w:val="ListBullet"/>
      </w:pPr>
      <w:r>
        <w:t>per gli indici di sintesi, le barre dei componenti;</w:t>
      </w:r>
    </w:p>
    <w:p>
      <w:pPr>
        <w:pStyle w:val="ListBullet"/>
      </w:pPr>
      <w:r>
        <w:t xml:space="preserve">i </w:t>
      </w:r>
      <w:r>
        <w:rPr>
          <w:b/>
        </w:rPr>
        <w:t>collegamenti</w:t>
      </w:r>
      <w:r>
        <w:t xml:space="preserve"> con le altre dimensioni.</w:t>
      </w:r>
    </w:p>
    <w:p>
      <w:r>
        <w:t>All'interno della card si aprono con un clic tre pannelli:</w:t>
      </w:r>
    </w:p>
    <w:p>
      <w:pPr>
        <w:pStyle w:val="ListBullet"/>
      </w:pPr>
      <w:r>
        <w:rPr>
          <w:b/>
        </w:rPr>
        <w:t>Scomposizione formula</w:t>
      </w:r>
      <w:r>
        <w:t>, in due parti: il calcolo dell'indice a partire dai dati e la sua trasformazione in score;</w:t>
      </w:r>
    </w:p>
    <w:p>
      <w:pPr>
        <w:pStyle w:val="ListBullet"/>
      </w:pPr>
      <w:r>
        <w:rPr>
          <w:b/>
        </w:rPr>
        <w:t>Scheda metodologica</w:t>
      </w:r>
      <w:r>
        <w:t>: definizione, modalità di calcolo e chiave di lettura;</w:t>
      </w:r>
    </w:p>
    <w:p>
      <w:pPr>
        <w:pStyle w:val="ListBullet"/>
      </w:pPr>
      <w:r>
        <w:rPr>
          <w:b/>
        </w:rPr>
        <w:t>Trend storico</w:t>
      </w:r>
      <w:r>
        <w:t>: l'andamento dello score negli anni disponibili.</w:t>
      </w:r>
    </w:p>
    <w:p>
      <w:pPr>
        <w:pStyle w:val="Heading2"/>
      </w:pPr>
      <w:r>
        <w:t>7.4 Le dimensioni disponibili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Dimensione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Indici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Stato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D2 · Programmazione del fabbisogno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IGF </w:t>
            </w:r>
            <w:r>
              <w:rPr>
                <w:i/>
                <w:sz w:val="17"/>
              </w:rPr>
              <w:t>(sintesi)</w:t>
            </w:r>
            <w:r>
              <w:rPr>
                <w:sz w:val="17"/>
              </w:rPr>
              <w:t xml:space="preserve"> — Governo strategico del fabbisogno; IRS — Replica strutturale; IDP_Norm — Direzione della progressività; PTI — Peso del tempo indeterminato; IRG_Norm — Ricambio generazionale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Dati reali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D4 · Sviluppo professionale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CGC </w:t>
            </w:r>
            <w:r>
              <w:rPr>
                <w:i/>
                <w:sz w:val="17"/>
              </w:rPr>
              <w:t>(sintesi)</w:t>
            </w:r>
            <w:r>
              <w:rPr>
                <w:sz w:val="17"/>
              </w:rPr>
              <w:t xml:space="preserve"> — Gestione delle competenze, con ICF_Norm — Intensità formativa, DPI_Norm — Dinamicità del personale interna, CQT — Coerenza qualifiche e titoli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Dati reali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ISCP </w:t>
            </w:r>
            <w:r>
              <w:rPr>
                <w:i/>
                <w:sz w:val="17"/>
              </w:rPr>
              <w:t>(sintesi)</w:t>
            </w:r>
            <w:r>
              <w:rPr>
                <w:sz w:val="17"/>
              </w:rPr>
              <w:t xml:space="preserve"> — Sviluppo del capitale professionale, con ISTP_Norm, IDFP, ICRP; IESF </w:t>
            </w:r>
            <w:r>
              <w:rPr>
                <w:i/>
                <w:sz w:val="17"/>
              </w:rPr>
              <w:t>(sintesi)</w:t>
            </w:r>
            <w:r>
              <w:rPr>
                <w:sz w:val="17"/>
              </w:rPr>
              <w:t xml:space="preserve"> — Efficacia dello sviluppo formativo, con IEF_Norm, ICQ, ICEC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Dati mock-up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D5 · Rewarding e carriera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IDC </w:t>
            </w:r>
            <w:r>
              <w:rPr>
                <w:i/>
                <w:sz w:val="17"/>
              </w:rPr>
              <w:t>(sintesi)</w:t>
            </w:r>
            <w:r>
              <w:rPr>
                <w:sz w:val="17"/>
              </w:rPr>
              <w:t xml:space="preserve"> — Dinamicità della carriera interna; DPI_Norm — Dinamicità del personale interna; ICS_Norm — Crescita strutturale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Dati reali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D6 · Capacity building e performance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Organico e ricambio: TVO, ISG, TEP · Qualificazione: IQP, IEQ · Parità di genere: IPD, TEPD, VQF, IRG, RTG, RRG, IRIC · Flessibilità e lavoro agile: IFL, TFL, IDLA, TDLA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Dati reali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D1 · Rilevazione e classificazione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Dati mock-up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D3 · Recruiting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Dati mock-up</w:t>
            </w:r>
          </w:p>
        </w:tc>
      </w:tr>
    </w:tbl>
    <w:p/>
    <w:p>
      <w:r>
        <w:t>Nella D6 non è previsto un indice di sintesi: gli indici sono raggruppati per tema.</w:t>
      </w:r>
    </w:p>
    <w:p>
      <w:pPr>
        <w:pStyle w:val="Heading2"/>
      </w:pPr>
      <w:r>
        <w:t>7.5 KPI Riforma PA</w:t>
      </w:r>
    </w:p>
    <w:p>
      <w:r>
        <w:t xml:space="preserve">La sezione presenta per ora la sola scheda </w:t>
      </w:r>
      <w:r>
        <w:rPr>
          <w:b/>
        </w:rPr>
        <w:t>«KPI Abilitanti e di Successo»</w:t>
      </w:r>
      <w:r>
        <w:t>: i KPI della metodologia ufficiale, raggruppati nelle sei dimensioni D1–D6.</w:t>
      </w:r>
    </w:p>
    <w:p>
      <w:pPr>
        <w:pStyle w:val="ListBullet"/>
      </w:pPr>
      <w:r>
        <w:rPr>
          <w:b/>
        </w:rPr>
        <w:t>Filtro</w:t>
      </w:r>
      <w:r>
        <w:t>: l'unico filtro è l'</w:t>
      </w:r>
      <w:r>
        <w:rPr>
          <w:b/>
        </w:rPr>
        <w:t>Anno</w:t>
      </w:r>
      <w:r>
        <w:t>; «Reimposta» riporta all'anno proposto all'avvio.</w:t>
      </w:r>
    </w:p>
    <w:p>
      <w:pPr>
        <w:pStyle w:val="ListBullet"/>
      </w:pPr>
      <w:r>
        <w:rPr>
          <w:b/>
        </w:rPr>
        <w:t>Riga del KPI</w:t>
      </w:r>
      <w:r>
        <w:t>: codice, nome, unità di misura (%, numero, anni) e valore con due decimali.</w:t>
      </w:r>
    </w:p>
    <w:p>
      <w:pPr>
        <w:pStyle w:val="ListBullet"/>
      </w:pPr>
      <w:r>
        <w:rPr>
          <w:b/>
        </w:rPr>
        <w:t>Dettaglio</w:t>
      </w:r>
      <w:r>
        <w:t xml:space="preserve">: cliccando la riga si aprono il </w:t>
      </w:r>
      <w:r>
        <w:rPr>
          <w:b/>
        </w:rPr>
        <w:t>tipo di sintesi</w:t>
      </w:r>
      <w:r>
        <w:t xml:space="preserve"> (formula complessiva o media semplice) e la </w:t>
      </w:r>
      <w:r>
        <w:rPr>
          <w:b/>
        </w:rPr>
        <w:t>formula</w:t>
      </w:r>
      <w:r>
        <w:t xml:space="preserve"> di calcolo. Al cambio d'anno le righe aperte si chiudono.</w:t>
      </w:r>
    </w:p>
    <w:p>
      <w:pPr>
        <w:pStyle w:val="ListBullet"/>
      </w:pPr>
      <w:r>
        <w:rPr>
          <w:b/>
        </w:rPr>
        <w:t>Ricerca</w:t>
      </w:r>
      <w:r>
        <w:t>: per codice (ad esempio «D6.1») o per parole del nome.</w:t>
      </w:r>
    </w:p>
    <w:p>
      <w:pPr>
        <w:pStyle w:val="ListBullet"/>
      </w:pPr>
      <w:r>
        <w:rPr>
          <w:b/>
        </w:rPr>
        <w:t>Esporta</w:t>
      </w:r>
      <w:r>
        <w:t>: tutti i KPI dell'anno scelto in CSV, Excel o PDF.</w:t>
      </w:r>
    </w:p>
    <w:p>
      <w:pPr>
        <w:pStyle w:val="Heading2"/>
      </w:pPr>
      <w:r>
        <w:t>7.6 Dati dimostrativi</w:t>
      </w:r>
    </w:p>
    <w:p>
      <w:r>
        <w:t xml:space="preserve">Gli indici la cui fonte non è ancora collegata sono mostrati con il contrassegno </w:t>
      </w:r>
      <w:r>
        <w:rPr>
          <w:b/>
        </w:rPr>
        <w:t>«Dati mock-up»</w:t>
      </w:r>
      <w:r>
        <w:t>: nella card, nella panoramica (barre tratteggiate con asterisco) e nella Vista Executive. Per questi indici non è disponibile il trend storico.</w:t>
      </w:r>
    </w:p>
    <w:p>
      <w:r>
        <w:t>▶ Torna all'indice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