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Cruscotto HR — Documentazione</w:t>
      </w:r>
    </w:p>
    <w:p>
      <w:r>
        <w:t xml:space="preserve">Documentazione del </w:t>
      </w:r>
      <w:r>
        <w:rPr>
          <w:b/>
        </w:rPr>
        <w:t>Cruscotto HR</w:t>
      </w:r>
      <w:r>
        <w:t>, applicazione per la consultazione e l'analisi di indicatori e dati sul personale delle pubbliche amministrazioni.</w:t>
      </w:r>
    </w:p>
    <w:p>
      <w:r>
        <w:t>La documentazione è pensata per la consultazione: descrive cosa offre il cruscotto, come si usa, chi può vedere cosa e come leggere indici e KPI.</w:t>
      </w:r>
    </w:p>
    <w:p>
      <w:pPr>
        <w:pStyle w:val="Heading2"/>
      </w:pPr>
      <w:r>
        <w:t>Indice</w:t>
      </w:r>
    </w:p>
    <w:p>
      <w:pPr>
        <w:pStyle w:val="ListNumber"/>
      </w:pPr>
      <w:r>
        <w:t>Manuale utente — utilizzo del cruscotto</w:t>
      </w:r>
    </w:p>
    <w:p>
      <w:pPr>
        <w:pStyle w:val="ListNumber"/>
      </w:pPr>
      <w:r>
        <w:t>Ruoli e accessi — profili, autorizzazioni e perimetro dei dati</w:t>
      </w:r>
    </w:p>
    <w:p>
      <w:pPr>
        <w:pStyle w:val="ListNumber"/>
      </w:pPr>
      <w:r>
        <w:t>Pannello di gestione — funzioni per gli amministratori</w:t>
      </w:r>
    </w:p>
    <w:p>
      <w:pPr>
        <w:pStyle w:val="ListNumber"/>
      </w:pPr>
      <w:r>
        <w:t>Funzionamento e sicurezza — come è organizzato il servizio</w:t>
      </w:r>
    </w:p>
    <w:p>
      <w:pPr>
        <w:pStyle w:val="ListNumber"/>
      </w:pPr>
      <w:r>
        <w:t>Glossario — terminologia ricorrente</w:t>
      </w:r>
    </w:p>
    <w:p>
      <w:pPr>
        <w:pStyle w:val="ListNumber"/>
      </w:pPr>
      <w:r>
        <w:t>Stato e attività — rilasci, attività in corso e da fare</w:t>
      </w:r>
    </w:p>
    <w:p>
      <w:pPr>
        <w:pStyle w:val="ListNumber"/>
      </w:pPr>
      <w:r>
        <w:t>Indici e KPI — come leggere Vista Sintetica, Vista Executive e KPI Riforma PA</w:t>
      </w:r>
    </w:p>
    <w:p>
      <w:pPr>
        <w:pStyle w:val="ListNumber"/>
      </w:pPr>
      <w:r>
        <w:t>Accessibilità — stato dell'adeguamento alle linee guida AgID</w:t>
      </w:r>
    </w:p>
    <w:p>
      <w:pPr>
        <w:pStyle w:val="Heading2"/>
      </w:pPr>
      <w:r>
        <w:t>In sintesi</w:t>
      </w:r>
    </w:p>
    <w:p>
      <w:r>
        <w:t xml:space="preserve">Il Cruscotto HR presenta, tramite schede tematiche con indicatori, grafici e tabelle, i dati del </w:t>
      </w:r>
      <w:r>
        <w:rPr>
          <w:b/>
        </w:rPr>
        <w:t>Conto Annuale</w:t>
      </w:r>
      <w:r>
        <w:t xml:space="preserve">, del </w:t>
      </w:r>
      <w:r>
        <w:rPr>
          <w:b/>
        </w:rPr>
        <w:t>SIPrO</w:t>
      </w:r>
      <w:r>
        <w:t xml:space="preserve">, degli </w:t>
      </w:r>
      <w:r>
        <w:rPr>
          <w:b/>
        </w:rPr>
        <w:t>indici di sintesi</w:t>
      </w:r>
      <w:r>
        <w:t xml:space="preserve"> sulle sei dimensioni della gestione del personale e dei </w:t>
      </w:r>
      <w:r>
        <w:rPr>
          <w:b/>
        </w:rPr>
        <w:t>KPI della Riforma PA</w:t>
      </w:r>
      <w:r>
        <w:t>. L'accesso avviene con le credenziali aziendali e ciascun utente visualizza esclusivamente i dati di propria competenza.</w:t>
      </w:r>
    </w:p>
    <w:p>
      <w:r>
        <w:rPr>
          <w:i/>
        </w:rPr>
        <w:t>Il progetto è in evoluzione: nuove analisi e nuovi dati vengono integrati e affinati nel</w:t>
      </w:r>
    </w:p>
    <w:p>
      <w:r>
        <w:rPr>
          <w:i/>
        </w:rPr>
        <w:t>tempo. Lo stato aggiornato è riportato nella pagina Stato e attività.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