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 Vista Sintetica · Indici con score [0-100] — Rapporto di realizzazione</w:t>
      </w:r>
    </w:p>
    <w:p>
      <w:r>
        <w:rPr>
          <w:i/>
        </w:rPr>
        <w:t>Documento di verifica da inoltrare a chi controlla gli indici.</w:t>
      </w:r>
    </w:p>
    <w:p>
      <w:r>
        <w:rPr>
          <w:i/>
        </w:rPr>
        <w:t xml:space="preserve">Si aggiorna </w:t>
      </w:r>
      <w:r>
        <w:rPr>
          <w:b/>
          <w:i/>
        </w:rPr>
        <w:t>a ogni rilascio</w:t>
      </w:r>
      <w:r>
        <w:rPr>
          <w:i/>
        </w:rPr>
        <w:t xml:space="preserve"> (vedi il registro delle realizzazioni).</w:t>
      </w:r>
    </w:p>
    <w:p>
      <w:r>
        <w:rPr>
          <w:i/>
        </w:rPr>
        <w:t xml:space="preserve">Riferimenti: le mappature Excel </w:t>
      </w:r>
      <w:r>
        <w:rPr>
          <w:rFonts w:ascii="Consolas" w:hAnsi="Consolas"/>
          <w:i/>
          <w:color w:val="1F4E79"/>
        </w:rPr>
        <w:t>docs/mappature/executive/mappatura-executive-d2|d4|d5|d6-Filippo.xlsx</w:t>
      </w:r>
      <w:r>
        <w:rPr>
          <w:i/>
        </w:rPr>
        <w:t>.</w:t>
      </w:r>
    </w:p>
    <w:p>
      <w:pPr>
        <w:pStyle w:val="Heading2"/>
      </w:pPr>
      <w:r>
        <w:t>1. Che cosa è stato fatto (in breve)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Pillar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Chiamata (RPC Supabase)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Indici reali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Indici mock-up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D2</w:t>
            </w:r>
            <w:r>
              <w:rPr>
                <w:sz w:val="17"/>
              </w:rPr>
              <w:t xml:space="preserve"> · Programmazione fabbisogno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Completato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fa_ca_exec_d2_indicatori_score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IGF, IRS, IDP_Norm, PTI, IRG_Norm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D5</w:t>
            </w:r>
            <w:r>
              <w:rPr>
                <w:sz w:val="17"/>
              </w:rPr>
              <w:t xml:space="preserve"> · Rewarding e carriera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Completato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fa_ca_exec_d5_indicatori_score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IDC, DPI_Norm, ICS_Norm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D4</w:t>
            </w:r>
            <w:r>
              <w:rPr>
                <w:sz w:val="17"/>
              </w:rPr>
              <w:t xml:space="preserve"> · Sviluppo professionale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Completato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fa_ca_exec_d4_indicatori_score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CGC, ICF_Norm, DPI_Norm, CQT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ISCP, IESF, ISTP_Norm, IDFP, ICRP, IEF_Norm, ICQ, ICEC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D6</w:t>
            </w:r>
            <w:r>
              <w:rPr>
                <w:sz w:val="17"/>
              </w:rPr>
              <w:t xml:space="preserve"> · Capacity building e performance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Completato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fa_ca_exec_d6_indicatori_score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TVO, ISG, TEP, IQP, IEQ, IPD, TEPD, VQF, IRG, </w:t>
            </w:r>
            <w:r>
              <w:rPr>
                <w:b/>
                <w:sz w:val="17"/>
              </w:rPr>
              <w:t>RTG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RRG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IRIC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D1 · Rilevazione e classificazione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⏳ Da fare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tutti (dati mock-up)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D3 · Recruiting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⏳ Da fare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tutti (dati mock-up)</w:t>
            </w:r>
          </w:p>
        </w:tc>
      </w:tr>
    </w:tbl>
    <w:p/>
    <w:p>
      <w:r>
        <w:rPr>
          <w:b/>
        </w:rPr>
        <w:t>Note:</w:t>
      </w:r>
    </w:p>
    <w:p>
      <w:pPr>
        <w:pStyle w:val="ListBullet"/>
      </w:pPr>
      <w:r>
        <w:rPr>
          <w:b/>
        </w:rPr>
        <w:t>RTG</w:t>
      </w:r>
      <w:r>
        <w:t xml:space="preserve">, </w:t>
      </w:r>
      <w:r>
        <w:rPr>
          <w:b/>
        </w:rPr>
        <w:t>RRG</w:t>
      </w:r>
      <w:r>
        <w:t xml:space="preserve"> e </w:t>
      </w:r>
      <w:r>
        <w:rPr>
          <w:b/>
        </w:rPr>
        <w:t>IRIC</w:t>
      </w:r>
      <w:r>
        <w:t xml:space="preserve"> sono indici nuovi della D6, prima assenti dalla piattaforma. Ora compaiono nella Vista Sintetica, nella Vista Executive e nel menu laterale.</w:t>
      </w:r>
    </w:p>
    <w:p>
      <w:pPr>
        <w:pStyle w:val="ListBullet"/>
      </w:pPr>
      <w:r>
        <w:rPr>
          <w:b/>
        </w:rPr>
        <w:t>IFM_Norm</w:t>
      </w:r>
      <w:r>
        <w:t xml:space="preserve"> (D4) è stato </w:t>
      </w:r>
      <w:r>
        <w:rPr>
          <w:b/>
        </w:rPr>
        <w:t>ritirato</w:t>
      </w:r>
      <w:r>
        <w:t>: la RPC non lo restituisce più. È stato rimosso dalla pagina D4, dalla Vista Executive e dal menu.</w:t>
      </w:r>
    </w:p>
    <w:p>
      <w:pPr>
        <w:pStyle w:val="Heading2"/>
      </w:pPr>
      <w:r>
        <w:t>2. Regole comuni a tutte le pagine</w:t>
      </w:r>
    </w:p>
    <w:p>
      <w:pPr>
        <w:pStyle w:val="ListNumber"/>
      </w:pPr>
      <w:r>
        <w:rPr>
          <w:b/>
        </w:rPr>
        <w:t>Score in scala [0-100]</w:t>
      </w:r>
      <w:r>
        <w:t xml:space="preserve">, senza il simbolo "%". La variazione rispetto all'anno precedente è espressa </w:t>
      </w:r>
      <w:r>
        <w:rPr>
          <w:b/>
        </w:rPr>
        <w:t>in punti</w:t>
      </w:r>
      <w:r>
        <w:t>, per esempio "+3 punti vs 2023".</w:t>
      </w:r>
    </w:p>
    <w:p>
      <w:pPr>
        <w:pStyle w:val="ListNumber"/>
      </w:pPr>
      <w:r>
        <w:rPr>
          <w:b/>
        </w:rPr>
        <w:t>Badge</w:t>
      </w:r>
      <w:r>
        <w:t xml:space="preserve"> restituito dall'API, calcolato su </w:t>
      </w:r>
      <w:r>
        <w:rPr>
          <w:rFonts w:ascii="Consolas" w:hAnsi="Consolas"/>
          <w:color w:val="1F4E79"/>
        </w:rPr>
        <w:t>lk_intervalli_badge</w:t>
      </w:r>
      <w:r>
        <w:t>:</w:t>
      </w:r>
    </w:p>
    <w:p>
      <w:r>
        <w:t>| Badge | Score da | Score fino a (escluso) |</w:t>
      </w:r>
    </w:p>
    <w:p>
      <w:r>
        <w:t>|---|---|---|</w:t>
      </w:r>
    </w:p>
    <w:p>
      <w:r>
        <w:t>| Basso | 0 | 25 |</w:t>
      </w:r>
    </w:p>
    <w:p>
      <w:r>
        <w:t>| Moderato | 25 | 50 |</w:t>
      </w:r>
    </w:p>
    <w:p>
      <w:r>
        <w:t>| Buono | 50 | 75 |</w:t>
      </w:r>
    </w:p>
    <w:p>
      <w:r>
        <w:t>| Eccellente | 75 | 101 |</w:t>
      </w:r>
    </w:p>
    <w:p>
      <w:r>
        <w:t>Per i soli indici mock-up il badge è calcolato dal frontend con le stesse soglie.</w:t>
      </w:r>
    </w:p>
    <w:p>
      <w:pPr>
        <w:pStyle w:val="ListNumber"/>
      </w:pPr>
      <w:r>
        <w:rPr>
          <w:b/>
        </w:rPr>
        <w:t>Layout:</w:t>
      </w:r>
    </w:p>
    <w:p>
      <w:pPr>
        <w:pStyle w:val="ListBullet"/>
      </w:pPr>
      <w:r>
        <w:t xml:space="preserve">indici di </w:t>
      </w:r>
      <w:r>
        <w:rPr>
          <w:b/>
        </w:rPr>
        <w:t>sintesi</w:t>
      </w:r>
      <w:r>
        <w:t xml:space="preserve"> → </w:t>
      </w:r>
      <w:r>
        <w:rPr>
          <w:b/>
        </w:rPr>
        <w:t>2 card per riga</w:t>
      </w:r>
      <w:r>
        <w:t>;</w:t>
      </w:r>
    </w:p>
    <w:p>
      <w:pPr>
        <w:pStyle w:val="ListBullet"/>
      </w:pPr>
      <w:r>
        <w:t xml:space="preserve">indici </w:t>
      </w:r>
      <w:r>
        <w:rPr>
          <w:b/>
        </w:rPr>
        <w:t>intermedi</w:t>
      </w:r>
      <w:r>
        <w:t xml:space="preserve"> → </w:t>
      </w:r>
      <w:r>
        <w:rPr>
          <w:b/>
        </w:rPr>
        <w:t>3 card per riga</w:t>
      </w:r>
      <w:r>
        <w:t>.</w:t>
      </w:r>
    </w:p>
    <w:p>
      <w:r>
        <w:t xml:space="preserve">Le card della stessa riga hanno le sezioni allineate (CSS </w:t>
      </w:r>
      <w:r>
        <w:rPr>
          <w:i/>
        </w:rPr>
        <w:t>subgrid</w:t>
      </w:r>
      <w:r>
        <w:t>: intestazione, badge, formula, componenti, pannelli, interconnessioni).</w:t>
      </w:r>
    </w:p>
    <w:p>
      <w:pPr>
        <w:pStyle w:val="ListNumber"/>
      </w:pPr>
      <w:r>
        <w:rPr>
          <w:b/>
        </w:rPr>
        <w:t>Contenuto di ogni card:</w:t>
      </w:r>
    </w:p>
    <w:p>
      <w:pPr>
        <w:pStyle w:val="ListBullet"/>
      </w:pPr>
      <w:r>
        <w:t>codice, pillar, nome, riga "Fonte" (testo statico);</w:t>
      </w:r>
    </w:p>
    <w:p>
      <w:pPr>
        <w:pStyle w:val="ListBullet"/>
      </w:pPr>
      <w:r>
        <w:t>score con arco, variazione, badge, valore dell'indice e dominio;</w:t>
      </w:r>
    </w:p>
    <w:p>
      <w:pPr>
        <w:pStyle w:val="ListBullet"/>
      </w:pPr>
      <w:r>
        <w:t>riquadro con la formula;</w:t>
      </w:r>
    </w:p>
    <w:p>
      <w:pPr>
        <w:pStyle w:val="ListBullet"/>
      </w:pPr>
      <w:r>
        <w:t>per i compositi, le barre dei componenti;</w:t>
      </w:r>
    </w:p>
    <w:p>
      <w:pPr>
        <w:pStyle w:val="ListBullet"/>
      </w:pPr>
      <w:r>
        <w:rPr>
          <w:b/>
        </w:rPr>
        <w:t>pannelli che si aprono dentro la card</w:t>
      </w:r>
      <w:r>
        <w:t xml:space="preserve">: </w:t>
      </w:r>
      <w:r>
        <w:rPr>
          <w:i/>
        </w:rPr>
        <w:t>Scomposizione formula</w:t>
      </w:r>
      <w:r>
        <w:t xml:space="preserve">, </w:t>
      </w:r>
      <w:r>
        <w:rPr>
          <w:i/>
        </w:rPr>
        <w:t>Scheda metodologica</w:t>
      </w:r>
      <w:r>
        <w:t xml:space="preserve"> (Definizione · Calcolo · Lettura) e </w:t>
      </w:r>
      <w:r>
        <w:rPr>
          <w:i/>
        </w:rPr>
        <w:t>Trend storico</w:t>
      </w:r>
      <w:r>
        <w:t>;</w:t>
      </w:r>
    </w:p>
    <w:p>
      <w:pPr>
        <w:pStyle w:val="ListBullet"/>
      </w:pPr>
      <w:r>
        <w:t>interconnessioni con gli altri pillar (dall'API, escluso il pillar corrente).</w:t>
      </w:r>
    </w:p>
    <w:p>
      <w:pPr>
        <w:pStyle w:val="ListNumber"/>
      </w:pPr>
      <w:r>
        <w:rPr>
          <w:b/>
        </w:rPr>
        <w:t>Scomposizione formula</w:t>
      </w:r>
      <w:r>
        <w:t>, in due parti:</w:t>
      </w:r>
    </w:p>
    <w:p>
      <w:pPr>
        <w:pStyle w:val="ListBullet"/>
      </w:pPr>
      <w:r>
        <w:rPr>
          <w:b/>
        </w:rPr>
        <w:t>Parte 1 · Calcolo dell'indice:</w:t>
      </w:r>
      <w:r>
        <w:t xml:space="preserve"> </w:t>
      </w:r>
      <w:r>
        <w:rPr>
          <w:rFonts w:ascii="Consolas" w:hAnsi="Consolas"/>
          <w:color w:val="1F4E79"/>
        </w:rPr>
        <w:t>componente_1</w:t>
      </w:r>
      <w:r>
        <w:t>/</w:t>
      </w:r>
      <w:r>
        <w:rPr>
          <w:rFonts w:ascii="Consolas" w:hAnsi="Consolas"/>
          <w:color w:val="1F4E79"/>
        </w:rPr>
        <w:t>valore_1</w:t>
      </w:r>
      <w:r>
        <w:t xml:space="preserve"> (anno), </w:t>
      </w:r>
      <w:r>
        <w:rPr>
          <w:rFonts w:ascii="Consolas" w:hAnsi="Consolas"/>
          <w:color w:val="1F4E79"/>
        </w:rPr>
        <w:t>componente_2</w:t>
      </w:r>
      <w:r>
        <w:t>/</w:t>
      </w:r>
      <w:r>
        <w:rPr>
          <w:rFonts w:ascii="Consolas" w:hAnsi="Consolas"/>
          <w:color w:val="1F4E79"/>
        </w:rPr>
        <w:t>valore_2</w:t>
      </w:r>
      <w:r>
        <w:t xml:space="preserve"> (anno), </w:t>
      </w:r>
      <w:r>
        <w:rPr>
          <w:rFonts w:ascii="Consolas" w:hAnsi="Consolas"/>
          <w:color w:val="1F4E79"/>
        </w:rPr>
        <w:t>dettagli</w:t>
      </w:r>
      <w:r>
        <w:t xml:space="preserve"> (se presenti), </w:t>
      </w:r>
      <w:r>
        <w:rPr>
          <w:rFonts w:ascii="Consolas" w:hAnsi="Consolas"/>
          <w:color w:val="1F4E79"/>
        </w:rPr>
        <w:t>formula_con_numeri</w:t>
      </w:r>
      <w:r>
        <w:t xml:space="preserve">, poi → </w:t>
      </w:r>
      <w:r>
        <w:rPr>
          <w:b/>
        </w:rPr>
        <w:t>Indice = `valore`</w:t>
      </w:r>
      <w:r>
        <w:t>.</w:t>
      </w:r>
    </w:p>
    <w:p>
      <w:pPr>
        <w:pStyle w:val="ListBullet"/>
      </w:pPr>
      <w:r>
        <w:rPr>
          <w:b/>
        </w:rPr>
        <w:t>Parte 2 · Normalizzazione dello score:</w:t>
      </w:r>
      <w:r>
        <w:t xml:space="preserve"> famiglia di scala (</w:t>
      </w:r>
      <w:r>
        <w:rPr>
          <w:rFonts w:ascii="Consolas" w:hAnsi="Consolas"/>
          <w:color w:val="1F4E79"/>
        </w:rPr>
        <w:t>descrizione_score</w:t>
      </w:r>
      <w:r>
        <w:t xml:space="preserve">), passaggi intermedi calcolati nel frontend secondo la famiglia (vedi §4), </w:t>
      </w:r>
      <w:r>
        <w:rPr>
          <w:rFonts w:ascii="Consolas" w:hAnsi="Consolas"/>
          <w:color w:val="1F4E79"/>
        </w:rPr>
        <w:t>formula_score</w:t>
      </w:r>
      <w:r>
        <w:t xml:space="preserve">, poi → </w:t>
      </w:r>
      <w:r>
        <w:rPr>
          <w:b/>
        </w:rPr>
        <w:t>Score = `score`</w:t>
      </w:r>
      <w:r>
        <w:t>.</w:t>
      </w:r>
    </w:p>
    <w:p>
      <w:pPr>
        <w:pStyle w:val="ListNumber"/>
      </w:pPr>
      <w:r>
        <w:rPr>
          <w:b/>
        </w:rPr>
        <w:t>Lo score mostrato è sempre quello restituito dall'API.</w:t>
      </w:r>
      <w:r>
        <w:t xml:space="preserve"> I passaggi intermedi servono solo a rendere leggibile il calcolo e non sostituiscono il valore del backend.</w:t>
      </w:r>
    </w:p>
    <w:p>
      <w:pPr>
        <w:pStyle w:val="ListNumber"/>
      </w:pPr>
      <w:r>
        <w:rPr>
          <w:b/>
        </w:rPr>
        <w:t>Filtri:</w:t>
      </w:r>
    </w:p>
    <w:p>
      <w:pPr>
        <w:pStyle w:val="ListBullet"/>
      </w:pPr>
      <w:r>
        <w:t xml:space="preserve">Anno, Regione e Comparto (dalla barra filtri, valori da </w:t>
      </w:r>
      <w:r>
        <w:rPr>
          <w:rFonts w:ascii="Consolas" w:hAnsi="Consolas"/>
          <w:color w:val="1F4E79"/>
        </w:rPr>
        <w:t>mv_filtri</w:t>
      </w:r>
      <w:r>
        <w:t>);</w:t>
      </w:r>
    </w:p>
    <w:p>
      <w:pPr>
        <w:pStyle w:val="ListBullet"/>
      </w:pPr>
      <w:r>
        <w:t>perimetro ente da Keycloak (</w:t>
      </w:r>
      <w:r>
        <w:rPr>
          <w:rFonts w:ascii="Consolas" w:hAnsi="Consolas"/>
          <w:color w:val="1F4E79"/>
        </w:rPr>
        <w:t>p_codice_fiscale</w:t>
      </w:r>
      <w:r>
        <w:t>) o selettore multi-ente.</w:t>
      </w:r>
    </w:p>
    <w:p>
      <w:r>
        <w:t>I parametri vuoti non vengono inviati.</w:t>
      </w:r>
    </w:p>
    <w:p>
      <w:pPr>
        <w:pStyle w:val="ListNumber"/>
      </w:pPr>
      <w:r>
        <w:rPr>
          <w:b/>
        </w:rPr>
        <w:t>Trend storico:</w:t>
      </w:r>
      <w:r>
        <w:t xml:space="preserve"> una chiamata per ogni anno disponibile in </w:t>
      </w:r>
      <w:r>
        <w:rPr>
          <w:rFonts w:ascii="Consolas" w:hAnsi="Consolas"/>
          <w:color w:val="1F4E79"/>
        </w:rPr>
        <w:t>mv_filtri</w:t>
      </w:r>
      <w:r>
        <w:t>, fino all'anno selezionato, con gli stessi filtri.</w:t>
      </w:r>
    </w:p>
    <w:p>
      <w:pPr>
        <w:pStyle w:val="ListNumber"/>
      </w:pPr>
      <w:r>
        <w:rPr>
          <w:b/>
        </w:rPr>
        <w:t>Dati mock-up:</w:t>
      </w:r>
      <w:r>
        <w:t xml:space="preserve"> badge "Dati mock-up" e riga "fonte non ancora collegata" in ogni card. Nella panoramica le barre sono tratteggiate e marcate con un asterisco. Non c'è trend storico. Il badge compare anche nella Vista Executive.</w:t>
      </w:r>
    </w:p>
    <w:p>
      <w:pPr>
        <w:pStyle w:val="ListNumber"/>
      </w:pPr>
      <w:r>
        <w:rPr>
          <w:b/>
        </w:rPr>
        <w:t>Vista Executive:</w:t>
      </w:r>
      <w:r>
        <w:t xml:space="preserve"> le card dei pillar collegati mostrano lo score reale.</w:t>
      </w:r>
    </w:p>
    <w:p>
      <w:pPr>
        <w:pStyle w:val="ListBullet"/>
      </w:pPr>
      <w:r>
        <w:t>La frase di lettura riporta valore dell'indice, dominio e score, più la formula per i compositi o la famiglia di scala per gli altri.</w:t>
      </w:r>
    </w:p>
    <w:p>
      <w:pPr>
        <w:pStyle w:val="ListBullet"/>
      </w:pPr>
      <w:r>
        <w:t>Le dimensioni D2 e D5 seguono la gerarchia (D4 per ora no, da valutare con il cliente): prima la riga da 2 card con la sintesi, poi le righe da 3 card con i componenti.</w:t>
      </w:r>
    </w:p>
    <w:p>
      <w:pPr>
        <w:pStyle w:val="ListBullet"/>
      </w:pPr>
      <w:r>
        <w:t>Il pulsante «Percorso guidato» non è più presente.</w:t>
      </w:r>
    </w:p>
    <w:p>
      <w:pPr>
        <w:pStyle w:val="Heading2"/>
      </w:pPr>
      <w:r>
        <w:t>3. Parametri della chiamata</w:t>
      </w:r>
    </w:p>
    <w:p>
      <w:r>
        <w:rPr>
          <w:rFonts w:ascii="Consolas" w:hAnsi="Consolas"/>
          <w:sz w:val="17"/>
        </w:rPr>
        <w:t>POST /rest/v1/rpc/fa_ca_exec_&lt;dx&gt;_indicatori_score</w:t>
        <w:br/>
        <w:t>{</w:t>
        <w:br/>
        <w:t xml:space="preserve">  "p_anno": 2024,                 // obbligatorio</w:t>
        <w:br/>
        <w:t xml:space="preserve">  "p_istituzione": "C6144",       // opzionale (codice istituzione)</w:t>
        <w:br/>
        <w:t xml:space="preserve">  "p_codice_fiscale": "...",      // opzionale (perimetro ente Keycloak)</w:t>
        <w:br/>
        <w:t xml:space="preserve">  "p_comparto": "FC",             // opzionale (codice comparto mv_filtri)</w:t>
        <w:br/>
        <w:t xml:space="preserve">  "p_regione": "LAZIO",           // opzionale (codice regione mv_filtri)</w:t>
        <w:br/>
        <w:t xml:space="preserve">  "p_codici": ["IGF","IRS"]       // opzionale: senza, restituisce tutte le righe del pillar</w:t>
        <w:br/>
        <w:t>}</w:t>
      </w:r>
    </w:p>
    <w:p>
      <w:r>
        <w:t xml:space="preserve">Campi letti dalla risposta: </w:t>
      </w:r>
      <w:r>
        <w:rPr>
          <w:rFonts w:ascii="Consolas" w:hAnsi="Consolas"/>
          <w:color w:val="1F4E79"/>
        </w:rPr>
        <w:t>id, nome, descrizione, formula, interpretazione, dominio, unita, valore, componente_1, valore_1, anno_1, componente_2, valore_2, anno_2, formula_con_numeri, interconnessioni, dettagli, score, var_score, stato_score, famiglia_score, soglia_score, unita_soglia, descrizione_score, formula_score, badge</w:t>
      </w:r>
      <w:r>
        <w:t>.</w:t>
      </w:r>
    </w:p>
    <w:p>
      <w:pPr>
        <w:pStyle w:val="Heading2"/>
      </w:pPr>
      <w:r>
        <w:t>4. Passaggi di normalizzazione mostrati per famiglia (Parte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Famiglia (</w:t>
            </w:r>
            <w:r>
              <w:rPr>
                <w:rFonts w:ascii="Consolas" w:hAnsi="Consolas"/>
                <w:b/>
                <w:color w:val="1F4E79"/>
                <w:sz w:val="17"/>
              </w:rPr>
              <w:t>famiglia_score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Indici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Passaggi mostrati dal frontend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Diretto [0;1] / Diretto centrato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IRS, IDP_Norm, PTI, ICS_Norm, CQT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"Non necessaria: score = indice × 100"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Target sul valore grezzo / Target su quota / Regola condivisa con D4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IRG_Norm, ICF_Norm, DPI_Norm, IQP, IDLA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Valore (componente 1 / componente 2) · Target (</w:t>
            </w:r>
            <w:r>
              <w:rPr>
                <w:rFonts w:ascii="Consolas" w:hAnsi="Consolas"/>
                <w:color w:val="1F4E79"/>
                <w:sz w:val="17"/>
              </w:rPr>
              <w:t>soglia_score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1F4E79"/>
                <w:sz w:val="17"/>
              </w:rPr>
              <w:t>unita_soglia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Composito orientato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IGF, IDC, CGC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Score di ogni componente (+ per IGF: blocco strutturale = (score IRS + score IDP_Norm) / 2)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 (equivalente annuo)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TVO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triennale · r = ((2+TVO)/(2−TVO))^(1/3) · variazione annua equivalente 2(r−1)/(r+1) · Ampiezza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 (media annua)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TDLA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triennale · media annua = variazione / 3 · Ampiezza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IEQ, VQF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· Ampiezza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 inversa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TFL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triennale · media annua = variazione / 3 · Ampiezza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Progresso verso l'ottimo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TEPD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triennale · media annua = variazione / 3 · Ampiezza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Inverso [0;1] / Inverso non limitato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TEP, ISG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Valore (componente 1 / componente 2)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Inverso con soglia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IFL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Valore (componente 1 / componente 2) · Soglia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Ottimo centrale a 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IPD, RTG, RRG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Valore · Reciproco 1 / valore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Rapporto centrato a 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IRG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Valore · Scarto dalla parità (valore − 1) · Ampiezza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Ottimo a 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IRIC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Valore · Distanza dalla neutralità |valore|</w:t>
            </w:r>
          </w:p>
        </w:tc>
      </w:tr>
    </w:tbl>
    <w:p/>
    <w:p>
      <w:r>
        <w:t xml:space="preserve">Tutte le famiglie chiudono con </w:t>
      </w:r>
      <w:r>
        <w:rPr>
          <w:b/>
        </w:rPr>
        <w:t>"Calcolo score" = `formula_score`</w:t>
      </w:r>
      <w:r>
        <w:t xml:space="preserve"> e con </w:t>
      </w:r>
      <w:r>
        <w:rPr>
          <w:b/>
        </w:rPr>
        <w:t>Score [0-100] = `score`</w:t>
      </w:r>
      <w:r>
        <w:t>.</w:t>
      </w:r>
    </w:p>
    <w:p>
      <w:pPr>
        <w:pStyle w:val="Heading2"/>
      </w:pPr>
      <w:r>
        <w:t>5. Valori di controllo (Italia, anno 2024, nessun filtro)</w:t>
      </w:r>
    </w:p>
    <w:p>
      <w:r>
        <w:rPr>
          <w:i/>
        </w:rPr>
        <w:t>Servono come riferimento per la verifica a video: aprire la pagina del pillar con anno 2024 e senza filtri.</w:t>
      </w:r>
    </w:p>
    <w:p>
      <w:pPr>
        <w:pStyle w:val="Heading3"/>
      </w:pPr>
      <w:r>
        <w:t>D2 · Programmazione fabbisogno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Nome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Famiglia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Score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Var. (punti)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Badge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IGF </w:t>
            </w:r>
            <w:r>
              <w:rPr>
                <w:i/>
                <w:sz w:val="17"/>
              </w:rPr>
              <w:t>(sintesi)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Governo strategico del Fabbisogno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Composito orientato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IRS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Replica Strutturale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Diretto [0;1]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0,71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IDP_Norm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Direzione della Progressività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Diretto centrato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0,65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PTI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Peso del Tempo Indeterminato sul reclutamento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Diretto [0;1]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0,65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IRG_Norm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Ricambio Generazionale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Target sul valore grezzo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Basso</w:t>
            </w:r>
          </w:p>
        </w:tc>
      </w:tr>
    </w:tbl>
    <w:p/>
    <w:p>
      <w:pPr>
        <w:pStyle w:val="Heading3"/>
      </w:pPr>
      <w:r>
        <w:t>D5 · Rewarding e carriera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Nome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Famiglia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Score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Var. (punti)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Badge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IDC </w:t>
            </w:r>
            <w:r>
              <w:rPr>
                <w:i/>
                <w:sz w:val="17"/>
              </w:rPr>
              <w:t>(sintesi)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Dinamicità della Carriera interna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Composito orientato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0,29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46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DPI_Norm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Dinamicità del Personale Interna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Regola condivisa con D4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0,08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ICS_Norm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Crescita Strutturale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Diretto centrato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</w:tbl>
    <w:p/>
    <w:p>
      <w:pPr>
        <w:pStyle w:val="Heading3"/>
      </w:pPr>
      <w:r>
        <w:t>D4 · Sviluppo professionale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Nome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Famiglia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Score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Var. (punti)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Badge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CGC </w:t>
            </w:r>
            <w:r>
              <w:rPr>
                <w:i/>
                <w:sz w:val="17"/>
              </w:rPr>
              <w:t>(sintesi)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Capacità di Gestione delle Competenze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Composito orientato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0,55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ICF_Norm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intensità formativa normalizzato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Target sul valore grezzo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Basso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DPI_Norm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Dinamicità del Personale Interna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Target sul valore grezzo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0,08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CQT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Coerenza Qualifiche e Titoli di studio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Diretto [0;1]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0,99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99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ISCP, IESF </w:t>
            </w:r>
            <w:r>
              <w:rPr>
                <w:i/>
                <w:sz w:val="17"/>
              </w:rPr>
              <w:t>(sintesi)</w:t>
            </w:r>
            <w:r>
              <w:rPr>
                <w:sz w:val="17"/>
              </w:rPr>
              <w:t xml:space="preserve"> · ISTP_Norm, IDFP, ICRP, IEF_Norm, ICQ, ICEC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Dati mock-up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D6 · Capacity building e performance (nessun indice di sintesi, 4 gruppi)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Gruppo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Indice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Nome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Famiglia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Valore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Score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Var. (punti)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Badge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Organico e ricambio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TVO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Tasso di Variazione dell'Organico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+3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ISG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Squilibrio Generazionale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Inverso non limitato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0,86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TEP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Tasso di Esposizione al Pensionamento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Inverso [0;1]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Qualificazione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IQP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Qualificazione Personale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Target su quota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0,59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+4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IEQ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Evoluzione della Qualificazione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0,34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Parità di genere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IPD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Parità Dirigenziale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Ottimo centrale a 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0,83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+1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TEPD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equilibrio di genere nella dirigenza (VEGD)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Progresso verso l'ottimo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VQF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della Quota Femminile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IRG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Riequilibrio di Genere nel ricambio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Rapporto centrato a 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0,99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RTG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Rapporto tassi di cessazione F/M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Ottimo centrale a 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RRG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Rapporto di Ricambio complessivo per Genere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Ottimo centrale a 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0,86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86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IRIC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Dinamica di genere del ricambio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Ottimo a 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0,02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Flessibilità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IFL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Flessibilità del Lavoro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Inverso con soglia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0,03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89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TFL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incidenza lavoro flessibile (VILF)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 inversa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+1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IDLA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di Diffusione del Lavoro Agile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Target su quota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0,08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+3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Basso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TDLA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Tasso di evoluzione del Lavoro Agile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Variazione centrata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0,08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63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n.d.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Buono</w:t>
            </w:r>
          </w:p>
        </w:tc>
      </w:tr>
    </w:tbl>
    <w:p/>
    <w:p>
      <w:pPr>
        <w:pStyle w:val="Heading2"/>
      </w:pPr>
      <w:r>
        <w:t>6. Corrispondenze di codice (menu laterale / Vista Executive → RPC)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Codice usato nel menu / Executive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Codice RPC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TCF</w:t>
            </w:r>
            <w:r>
              <w:rPr>
                <w:sz w:val="17"/>
              </w:rPr>
              <w:t xml:space="preserve"> (D4)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ICF_Norm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L'indice è stato rinominato nella RPC. In menu ora si chiama "Intensità formativa normalizzata".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DPI_Norm_D5</w:t>
            </w:r>
            <w:r>
              <w:rPr>
                <w:sz w:val="17"/>
              </w:rPr>
              <w:t xml:space="preserve"> (D5)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DPI_Norm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Evita la collisione con il DPI_Norm della D4.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IRG_genere</w:t>
            </w:r>
            <w:r>
              <w:rPr>
                <w:sz w:val="17"/>
              </w:rPr>
              <w:t xml:space="preserve"> (D6)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IRG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Evita la collisione con l'IRG_Norm della D2.</w:t>
            </w:r>
          </w:p>
        </w:tc>
      </w:tr>
    </w:tbl>
    <w:p/>
    <w:p>
      <w:pPr>
        <w:pStyle w:val="Heading2"/>
      </w:pPr>
      <w:r>
        <w:t>7. Punti aperti da verificare con il backend</w:t>
      </w:r>
    </w:p>
    <w:p>
      <w:pPr>
        <w:pStyle w:val="ListNumber"/>
      </w:pPr>
      <w:r>
        <w:rPr>
          <w:b/>
        </w:rPr>
        <w:t>D5.DPI_Norm e D4.DPI_Norm</w:t>
      </w:r>
      <w:r>
        <w:t>: stesso valore, con famiglie diverse ("Regola condivisa con D4" e "Target sul valore grezzo"). Va confermato che sia voluto (punto aperto 4 della mappatura D5).</w:t>
      </w:r>
    </w:p>
    <w:p>
      <w:pPr>
        <w:pStyle w:val="ListNumber"/>
      </w:pPr>
      <w:r>
        <w:rPr>
          <w:b/>
        </w:rPr>
        <w:t>Precisione dei componenti (D6)</w:t>
      </w:r>
      <w:r>
        <w:t xml:space="preserve">: </w:t>
      </w:r>
      <w:r>
        <w:rPr>
          <w:rFonts w:ascii="Consolas" w:hAnsi="Consolas"/>
          <w:color w:val="1F4E79"/>
        </w:rPr>
        <w:t>valore_1</w:t>
      </w:r>
      <w:r>
        <w:t>/</w:t>
      </w:r>
      <w:r>
        <w:rPr>
          <w:rFonts w:ascii="Consolas" w:hAnsi="Consolas"/>
          <w:color w:val="1F4E79"/>
        </w:rPr>
        <w:t>valore_2</w:t>
      </w:r>
      <w:r>
        <w:t xml:space="preserve"> arrivano arrotondati a 2 decimali. Per variazioni piccole o tassi bassi, ricalcolare lo score a mano può dare uno scarto superiore a 0,01. Si chiede più precisione dal backend (vedi mappatura D6).</w:t>
      </w:r>
    </w:p>
    <w:p>
      <w:pPr>
        <w:pStyle w:val="ListNumber"/>
      </w:pPr>
      <w:r>
        <w:rPr>
          <w:b/>
        </w:rPr>
        <w:t>TDLA</w:t>
      </w:r>
      <w:r>
        <w:t xml:space="preserve">: </w:t>
      </w:r>
      <w:r>
        <w:rPr>
          <w:rFonts w:ascii="Consolas" w:hAnsi="Consolas"/>
          <w:color w:val="1F4E79"/>
        </w:rPr>
        <w:t>var_score</w:t>
      </w:r>
      <w:r>
        <w:t xml:space="preserve"> è nullo per il 2024. La card mostra "n.d. vs 2023".</w:t>
      </w:r>
    </w:p>
    <w:p>
      <w:pPr>
        <w:pStyle w:val="ListNumber"/>
      </w:pPr>
      <w:r>
        <w:rPr>
          <w:b/>
        </w:rPr>
        <w:t>D6 senza indice di sintesi</w:t>
      </w:r>
      <w:r>
        <w:t>: la RPC non restituisce un composito D6, quindi la pagina mostra solo i 4 gruppi di indici intermedi.</w:t>
      </w:r>
    </w:p>
    <w:p>
      <w:pPr>
        <w:pStyle w:val="ListNumber"/>
      </w:pPr>
      <w:r>
        <w:rPr>
          <w:b/>
        </w:rPr>
        <w:t>Indici mock-up D4</w:t>
      </w:r>
      <w:r>
        <w:t xml:space="preserve"> (Minerva / Syllabus): resteranno dimostrativi finché le fonti non saranno collegate.</w:t>
      </w:r>
    </w:p>
    <w:p>
      <w:pPr>
        <w:pStyle w:val="Heading2"/>
      </w:pPr>
      <w:r>
        <w:t>8. Come verificare (checklist per il controllore)</w:t>
      </w:r>
    </w:p>
    <w:p>
      <w:pPr>
        <w:pStyle w:val="ListNumber"/>
      </w:pPr>
      <w:r>
        <w:t xml:space="preserve">Entrare con un utente amministratore (DFP) e aprire </w:t>
      </w:r>
      <w:r>
        <w:rPr>
          <w:b/>
        </w:rPr>
        <w:t>Vista Sintetica → D2 / D4 / D5 / D6</w:t>
      </w:r>
      <w:r>
        <w:t>, anno 2024, senza filtri.</w:t>
      </w:r>
    </w:p>
    <w:p>
      <w:pPr>
        <w:pStyle w:val="ListNumber"/>
      </w:pPr>
      <w:r>
        <w:t>Confrontare score, variazione e badge di ogni card con le tabelle del §5.</w:t>
      </w:r>
    </w:p>
    <w:p>
      <w:pPr>
        <w:pStyle w:val="ListNumber"/>
      </w:pPr>
      <w:r>
        <w:t xml:space="preserve">Aprire </w:t>
      </w:r>
      <w:r>
        <w:rPr>
          <w:b/>
        </w:rPr>
        <w:t>Scomposizione formula</w:t>
      </w:r>
      <w:r>
        <w:t xml:space="preserve"> in una card per famiglia (§4) e verificare che:</w:t>
      </w:r>
    </w:p>
    <w:p>
      <w:pPr>
        <w:pStyle w:val="ListBullet"/>
      </w:pPr>
      <w:r>
        <w:t xml:space="preserve">la </w:t>
      </w:r>
      <w:r>
        <w:rPr>
          <w:b/>
        </w:rPr>
        <w:t>Parte 1</w:t>
      </w:r>
      <w:r>
        <w:t xml:space="preserve"> riporti i componenti e la </w:t>
      </w:r>
      <w:r>
        <w:rPr>
          <w:rFonts w:ascii="Consolas" w:hAnsi="Consolas"/>
          <w:color w:val="1F4E79"/>
        </w:rPr>
        <w:t>formula_con_numeri</w:t>
      </w:r>
      <w:r>
        <w:t xml:space="preserve"> della RPC;</w:t>
      </w:r>
    </w:p>
    <w:p>
      <w:pPr>
        <w:pStyle w:val="ListBullet"/>
      </w:pPr>
      <w:r>
        <w:t xml:space="preserve">la </w:t>
      </w:r>
      <w:r>
        <w:rPr>
          <w:b/>
        </w:rPr>
        <w:t>Parte 2</w:t>
      </w:r>
      <w:r>
        <w:t xml:space="preserve"> chiuda con lo stesso score della card.</w:t>
      </w:r>
    </w:p>
    <w:p>
      <w:pPr>
        <w:pStyle w:val="ListNumber"/>
      </w:pPr>
      <w:r>
        <w:t xml:space="preserve">Cambiare </w:t>
      </w:r>
      <w:r>
        <w:rPr>
          <w:b/>
        </w:rPr>
        <w:t>Regione</w:t>
      </w:r>
      <w:r>
        <w:t xml:space="preserve"> o </w:t>
      </w:r>
      <w:r>
        <w:rPr>
          <w:b/>
        </w:rPr>
        <w:t>Comparto</w:t>
      </w:r>
      <w:r>
        <w:t xml:space="preserve"> e verificare che i valori cambino.</w:t>
      </w:r>
    </w:p>
    <w:p>
      <w:pPr>
        <w:pStyle w:val="ListNumber"/>
      </w:pPr>
      <w:r>
        <w:t xml:space="preserve">Aprire il </w:t>
      </w:r>
      <w:r>
        <w:rPr>
          <w:b/>
        </w:rPr>
        <w:t>Trend storico</w:t>
      </w:r>
      <w:r>
        <w:t xml:space="preserve"> e verificare che compaiano gli anni disponibili fino all'anno selezionato.</w:t>
      </w:r>
    </w:p>
    <w:p>
      <w:pPr>
        <w:pStyle w:val="ListNumber"/>
      </w:pPr>
      <w:r>
        <w:t>Nella D4, verificare che gli 8 indici mock-up abbiano il badge "Dati mock-up" e la nota in panoramica.</w:t>
      </w:r>
    </w:p>
    <w:p>
      <w:pPr>
        <w:pStyle w:val="ListNumber"/>
      </w:pPr>
      <w:r>
        <w:t xml:space="preserve">Nella </w:t>
      </w:r>
      <w:r>
        <w:rPr>
          <w:b/>
        </w:rPr>
        <w:t>Vista Executive</w:t>
      </w:r>
      <w:r>
        <w:t>, verificare che:</w:t>
      </w:r>
    </w:p>
    <w:p>
      <w:pPr>
        <w:pStyle w:val="ListBullet"/>
      </w:pPr>
      <w:r>
        <w:t>IGF, IDC, CGC e gli indici D6 riportino lo stesso score della Vista Sintetica;</w:t>
      </w:r>
    </w:p>
    <w:p>
      <w:pPr>
        <w:pStyle w:val="ListBullet"/>
      </w:pPr>
      <w:r>
        <w:t>ISCP e IESF siano segnalati come mock-up;</w:t>
      </w:r>
    </w:p>
    <w:p>
      <w:pPr>
        <w:pStyle w:val="ListBullet"/>
      </w:pPr>
      <w:r>
        <w:t>IFM_Norm non compaia.</w:t>
      </w:r>
    </w:p>
    <w:p>
      <w:pPr>
        <w:pStyle w:val="ListNumber"/>
      </w:pPr>
      <w:r>
        <w:t xml:space="preserve">Entrare con un utente </w:t>
      </w:r>
      <w:r>
        <w:rPr>
          <w:b/>
        </w:rPr>
        <w:t>ente</w:t>
      </w:r>
      <w:r>
        <w:t xml:space="preserve"> (Keycloak) e verificare che i valori riguardino solo l'ente o gli enti del proprio perimetro.</w:t>
      </w:r>
    </w:p>
    <w:p>
      <w:pPr>
        <w:pStyle w:val="ListNumber"/>
      </w:pPr>
      <w:r>
        <w:rPr>
          <w:b/>
        </w:rPr>
        <w:t>Pannello Admin → Schede → Indici D2</w:t>
      </w:r>
      <w:r>
        <w:t>: disattivare un indice, per esempio PTI, e verificare che:</w:t>
      </w:r>
    </w:p>
    <w:p>
      <w:pPr>
        <w:pStyle w:val="ListBullet"/>
      </w:pPr>
      <w:r>
        <w:t>sparisca dal menu e dalla pagina D2;</w:t>
      </w:r>
    </w:p>
    <w:p>
      <w:pPr>
        <w:pStyle w:val="ListBullet"/>
      </w:pPr>
      <w:r>
        <w:t>con il link diretto compaia l'avviso «indice disattivato».</w:t>
      </w:r>
    </w:p>
    <w:p>
      <w:r>
        <w:t>Disattivare IGF e verificare che sparisca dalla Vista Executive. Ricaricare la pagina e</w:t>
      </w:r>
    </w:p>
    <w:p>
      <w:r>
        <w:t>verificare che lo stato resti salvato: serve lo script SQL del §9.</w:t>
      </w:r>
    </w:p>
    <w:p>
      <w:pPr>
        <w:pStyle w:val="ListNumber"/>
      </w:pPr>
      <w:r>
        <w:t>Aprire alcuni pannelli delle card e verificare che gli indici compaiano in «Schede più consultate».</w:t>
      </w:r>
    </w:p>
    <w:p>
      <w:pPr>
        <w:pStyle w:val="Heading2"/>
      </w:pPr>
      <w:r>
        <w:t>9. Prerequisito database per il Pannello Admin</w:t>
      </w:r>
    </w:p>
    <w:p>
      <w:r>
        <w:t xml:space="preserve">Lo script </w:t>
      </w:r>
      <w:r>
        <w:rPr>
          <w:rFonts w:ascii="Consolas" w:hAnsi="Consolas"/>
          <w:color w:val="1F4E79"/>
        </w:rPr>
        <w:t>docs/sql/feature_flags_sipro_indici.sql</w:t>
      </w:r>
      <w:r>
        <w:t xml:space="preserve"> va eseguito una volta sul database. Inserisce:</w:t>
      </w:r>
    </w:p>
    <w:p>
      <w:pPr>
        <w:pStyle w:val="ListBullet"/>
      </w:pPr>
      <w:r>
        <w:t xml:space="preserve">le 22 chiavi delle schede </w:t>
      </w:r>
      <w:r>
        <w:rPr>
          <w:b/>
        </w:rPr>
        <w:t>SIPrO</w:t>
      </w:r>
      <w:r>
        <w:t>;</w:t>
      </w:r>
    </w:p>
    <w:p>
      <w:pPr>
        <w:pStyle w:val="ListBullet"/>
      </w:pPr>
      <w:r>
        <w:t xml:space="preserve">le 36 chiavi degli </w:t>
      </w:r>
      <w:r>
        <w:rPr>
          <w:b/>
        </w:rPr>
        <w:t>indici</w:t>
      </w:r>
      <w:r>
        <w:t>.</w:t>
      </w:r>
    </w:p>
    <w:p>
      <w:r>
        <w:t>Sullo staging queste chiavi oggi non esistono, quindi attivazioni e disattivazioni non restano</w:t>
      </w:r>
    </w:p>
    <w:p>
      <w:r>
        <w:t>salvate dopo il ricaricamento della pagina. Lo script è idempotente</w:t>
      </w:r>
    </w:p>
    <w:p>
      <w:r>
        <w:t>(</w:t>
      </w:r>
      <w:r>
        <w:rPr>
          <w:rFonts w:ascii="Consolas" w:hAnsi="Consolas"/>
          <w:color w:val="1F4E79"/>
        </w:rPr>
        <w:t>on conflict do nothing</w:t>
      </w:r>
      <w:r>
        <w:t>).</w:t>
      </w:r>
    </w:p>
    <w:p>
      <w:pPr>
        <w:pStyle w:val="Heading2"/>
      </w:pPr>
      <w:r>
        <w:t>Registro delle realizzazioni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Rilascio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Contenuto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R1 · D2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Nuova pagina sintetica alimentata dalla RPC con score [0-100]: panoramica, sintesi a 2 colonne, intermedi a 3 colonne, Scomposizione formula (Parte 1 e Parte 2), Scheda metodologica, Trend storico. Tolta la tacca verticale, disattivato il "Quadro Sinottico". IGF reale in Vista Executive. Card Executive passate a "Score [0-100]".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R1.1 · Allineamento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Card della stessa riga allineate con CSS subgrid, così box di lunghezza diversa non si sfalsano più.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R2 · D5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IDC, DPI_Norm, ICS_Norm reali. Alias </w:t>
            </w:r>
            <w:r>
              <w:rPr>
                <w:rFonts w:ascii="Consolas" w:hAnsi="Consolas"/>
                <w:color w:val="1F4E79"/>
                <w:sz w:val="17"/>
              </w:rPr>
              <w:t>DPI_Norm_D5</w:t>
            </w:r>
            <w:r>
              <w:rPr>
                <w:sz w:val="17"/>
              </w:rPr>
              <w:t>. IDC reale in Vista Executive. Frase di lettura coerente con lo score.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R3 · D4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CGC, ICF_Norm, DPI_Norm, CQT reali. 8 indici mantenuti come </w:t>
            </w:r>
            <w:r>
              <w:rPr>
                <w:b/>
                <w:sz w:val="17"/>
              </w:rPr>
              <w:t>mock-up</w:t>
            </w:r>
            <w:r>
              <w:rPr>
                <w:sz w:val="17"/>
              </w:rPr>
              <w:t xml:space="preserve"> con disclaimer. IFM_Norm ritirato. Intermedi raggruppati per composito (CGC · ISCP · IESF). Alias </w:t>
            </w:r>
            <w:r>
              <w:rPr>
                <w:rFonts w:ascii="Consolas" w:hAnsi="Consolas"/>
                <w:color w:val="1F4E79"/>
                <w:sz w:val="17"/>
              </w:rPr>
              <w:t>TCF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1F4E79"/>
                <w:sz w:val="17"/>
              </w:rPr>
              <w:t>ICF_Norm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R7 · KPI Riforma PA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Mappatura </w:t>
            </w:r>
            <w:r>
              <w:rPr>
                <w:rFonts w:ascii="Consolas" w:hAnsi="Consolas"/>
                <w:color w:val="1F4E79"/>
                <w:sz w:val="17"/>
              </w:rPr>
              <w:t>mappatura-scheda-kpi-riforma_3</w:t>
            </w:r>
            <w:r>
              <w:rPr>
                <w:sz w:val="17"/>
              </w:rPr>
              <w:t xml:space="preserve">. Per ora resta solo la scheda «KPI Abilitanti (Blocchi)»: «KPI Success Rate» e «Benchmark» sono nascoste dal menu. Tolta la sezione «Indici compositi». Dati reali da </w:t>
            </w:r>
            <w:r>
              <w:rPr>
                <w:rFonts w:ascii="Consolas" w:hAnsi="Consolas"/>
                <w:color w:val="1F4E79"/>
                <w:sz w:val="17"/>
              </w:rPr>
              <w:t>kpi_filtri</w:t>
            </w:r>
            <w:r>
              <w:rPr>
                <w:sz w:val="17"/>
              </w:rPr>
              <w:t xml:space="preserve"> (anni, anno predefinito) e </w:t>
            </w:r>
            <w:r>
              <w:rPr>
                <w:rFonts w:ascii="Consolas" w:hAnsi="Consolas"/>
                <w:color w:val="1F4E79"/>
                <w:sz w:val="17"/>
              </w:rPr>
              <w:t>kpi_scheda</w:t>
            </w:r>
            <w:r>
              <w:rPr>
                <w:sz w:val="17"/>
              </w:rPr>
              <w:t>: una sola chiamata, 39 KPI in 6 card D1–D6. Filtro unico Anno con «Reimposta»; al cambio anno gli accordion si chiudono. Card senza conteggio KPI e senza barra SR. Riga indicatore con pallino neutro (#9CA3AF), pulsante +/−, codice, nome, chip con l'unità, valore a 2 decimali senza «%», senza barra. Accordion con Tipo di sintesi e Formula del catalogo.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R7.1 · KPI Riforma: ricerca ed export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Campo di ricerca per codice o parole del nome: senza distinzione di maiuscole e accenti, con contatore «N di 39 KPI»; le card senza risultati si nascondono; un codice completo (per esempio «D6.1») mostra solo quel KPI. Pulsante «Esporta» (CSV · Excel · PDF) con </w:t>
            </w:r>
            <w:r>
              <w:rPr>
                <w:b/>
                <w:sz w:val="17"/>
              </w:rPr>
              <w:t>tutti</w:t>
            </w:r>
            <w:r>
              <w:rPr>
                <w:sz w:val="17"/>
              </w:rPr>
              <w:t xml:space="preserve"> i KPI dell'anno scelto (Anno, Dimensione, Descrizione, KPI, Nome, Unità, Valore, Tipo di sintesi, Formula), indipendente dalla ricerca.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R6 · Vista Executive gerarchica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Su richiesta del cliente, D2 e D5 nella Vista Executive mostrano prima l'</w:t>
            </w:r>
            <w:r>
              <w:rPr>
                <w:b/>
                <w:sz w:val="17"/>
              </w:rPr>
              <w:t>indice di sintesi</w:t>
            </w:r>
            <w:r>
              <w:rPr>
                <w:sz w:val="17"/>
              </w:rPr>
              <w:t xml:space="preserve"> (riga da 2 card: sintesi con badge «Indice di sintesi», riquadro «Composto da» e box «Come leggere questa dimensione») e subito dopo gli </w:t>
            </w:r>
            <w:r>
              <w:rPr>
                <w:b/>
                <w:sz w:val="17"/>
              </w:rPr>
              <w:t>indici componenti</w:t>
            </w:r>
            <w:r>
              <w:rPr>
                <w:sz w:val="17"/>
              </w:rPr>
              <w:t xml:space="preserve"> (righe da 3 card). Interconnessioni prese dall'API, codici mostrati come nella RPC (ICF_Norm, DPI_Norm, IRG). Tolto il pulsante «Percorso guidato» da tutte le dimensioni della Vista Executive.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R5 · Pannello Admin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Nuove sezioni «Indici D2/D4/D5/D6» in Pannello → Schede, per attivare o disattivare ognuno dei 36 indici (singolarmente o tutti insieme). Un indice disattivato sparisce da menu, pagina del pillar e Vista Executive. Gli indici entrano in «Schede più consultate» (apertura da menu/Executive, apertura dei pannelli della card, click in panoramica). Script </w:t>
            </w:r>
            <w:r>
              <w:rPr>
                <w:rFonts w:ascii="Consolas" w:hAnsi="Consolas"/>
                <w:color w:val="1F4E79"/>
                <w:sz w:val="17"/>
              </w:rPr>
              <w:t>docs/sql/feature_flags_sipro_indici.sql</w:t>
            </w:r>
            <w:r>
              <w:rPr>
                <w:sz w:val="17"/>
              </w:rPr>
              <w:t xml:space="preserve"> con le 58 chiavi mancanti (SIPrO + indici).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R4 · D6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16 indici reali in 4 gruppi tematici, compresi i </w:t>
            </w:r>
            <w:r>
              <w:rPr>
                <w:b/>
                <w:sz w:val="17"/>
              </w:rPr>
              <w:t>nuovi RTG, RRG e IRIC</w:t>
            </w:r>
            <w:r>
              <w:rPr>
                <w:sz w:val="17"/>
              </w:rPr>
              <w:t xml:space="preserve"> (aggiunti anche al menu e alla Vista Executive). Passaggi di normalizzazione per tutte le famiglie di scala (§4). Alias </w:t>
            </w:r>
            <w:r>
              <w:rPr>
                <w:rFonts w:ascii="Consolas" w:hAnsi="Consolas"/>
                <w:color w:val="1F4E79"/>
                <w:sz w:val="17"/>
              </w:rPr>
              <w:t>IRG_genere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1F4E79"/>
                <w:sz w:val="17"/>
              </w:rPr>
              <w:t>IRG</w:t>
            </w:r>
            <w:r>
              <w:rPr>
                <w:sz w:val="17"/>
              </w:rPr>
              <w:t>. Risolti i valori fuori scala della D6 in Executive (per esempio ISG = 151).</w:t>
            </w:r>
          </w:p>
        </w:tc>
      </w:tr>
    </w:tbl>
    <w:p/>
    <w:p>
      <w:pPr>
        <w:pStyle w:val="Heading3"/>
      </w:pPr>
      <w:r>
        <w:t>Dove si trova il codice</w:t>
      </w:r>
    </w:p>
    <w:p>
      <w:pPr>
        <w:pStyle w:val="ListBullet"/>
      </w:pPr>
      <w:r>
        <w:rPr>
          <w:rFonts w:ascii="Consolas" w:hAnsi="Consolas"/>
          <w:color w:val="1F4E79"/>
        </w:rPr>
        <w:t>src/services/exec/execScoreService.ts</w:t>
      </w:r>
      <w:r>
        <w:t>: chiamata RPC e tipi.</w:t>
      </w:r>
    </w:p>
    <w:p>
      <w:pPr>
        <w:pStyle w:val="ListBullet"/>
      </w:pPr>
      <w:r>
        <w:rPr>
          <w:rFonts w:ascii="Consolas" w:hAnsi="Consolas"/>
          <w:color w:val="1F4E79"/>
        </w:rPr>
        <w:t>src/hooks/useExecScore.ts</w:t>
      </w:r>
      <w:r>
        <w:t>: hook React Query (anno corrente, trend, più pillar insieme, filtri).</w:t>
      </w:r>
    </w:p>
    <w:p>
      <w:pPr>
        <w:pStyle w:val="ListBullet"/>
      </w:pPr>
      <w:r>
        <w:rPr>
          <w:rFonts w:ascii="Consolas" w:hAnsi="Consolas"/>
          <w:color w:val="1F4E79"/>
        </w:rPr>
        <w:t>src/components/dashboard/executive/score/execScoreConfig.ts</w:t>
      </w:r>
      <w:r>
        <w:t>: configurazione dei pillar (sintesi, intermedi, gruppi, componenti, alias, mock-up, ritirati, fonti).</w:t>
      </w:r>
    </w:p>
    <w:p>
      <w:pPr>
        <w:pStyle w:val="ListBullet"/>
      </w:pPr>
      <w:r>
        <w:rPr>
          <w:rFonts w:ascii="Consolas" w:hAnsi="Consolas"/>
          <w:color w:val="1F4E79"/>
        </w:rPr>
        <w:t>src/components/dashboard/executive/score/execScoreNormalization.ts</w:t>
      </w:r>
      <w:r>
        <w:t>: passaggi della Parte 2 per famiglia.</w:t>
      </w:r>
    </w:p>
    <w:p>
      <w:pPr>
        <w:pStyle w:val="ListBullet"/>
      </w:pPr>
      <w:r>
        <w:rPr>
          <w:rFonts w:ascii="Consolas" w:hAnsi="Consolas"/>
          <w:color w:val="1F4E79"/>
        </w:rPr>
        <w:t>src/components/dashboard/executive/score/execScoreMock.ts</w:t>
      </w:r>
      <w:r>
        <w:t>: adattatore dei dati mock-up.</w:t>
      </w:r>
    </w:p>
    <w:p>
      <w:pPr>
        <w:pStyle w:val="ListBullet"/>
      </w:pPr>
      <w:r>
        <w:rPr>
          <w:rFonts w:ascii="Consolas" w:hAnsi="Consolas"/>
          <w:color w:val="1F4E79"/>
        </w:rPr>
        <w:t>src/components/dashboard/executive/score/ExecScoreCard.tsx</w:t>
      </w:r>
      <w:r>
        <w:t xml:space="preserve"> e </w:t>
      </w:r>
      <w:r>
        <w:rPr>
          <w:rFonts w:ascii="Consolas" w:hAnsi="Consolas"/>
          <w:color w:val="1F4E79"/>
        </w:rPr>
        <w:t>ExecScorePillarView.tsx</w:t>
      </w:r>
      <w:r>
        <w:t>: interfaccia.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