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654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-log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54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b/>
          <w:color w:val="004080"/>
          <w:sz w:val="60"/>
        </w:rPr>
        <w:t>Cruscotto HR</w:t>
      </w:r>
    </w:p>
    <w:p>
      <w:pPr>
        <w:jc w:val="center"/>
      </w:pPr>
      <w:r>
        <w:rPr>
          <w:sz w:val="36"/>
        </w:rPr>
        <w:t>Resoconto delle attività di sviluppo</w:t>
      </w:r>
    </w:p>
    <w:p>
      <w:pPr>
        <w:jc w:val="center"/>
      </w:pPr>
      <w:r>
        <w:rPr>
          <w:color w:val="555F6B"/>
          <w:sz w:val="28"/>
        </w:rPr>
        <w:t>Agosto – Settembre 2026</w:t>
      </w:r>
    </w:p>
    <w:p/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268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Voce</w:t>
            </w:r>
          </w:p>
        </w:tc>
        <w:tc>
          <w:tcPr>
            <w:tcW w:type="dxa" w:w="7087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Dettaglio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Prodotto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Cruscotto HR — Sistema di Monitoraggio HR della Pubblica Amministrazione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r/>
            <w:r>
              <w:rPr>
                <w:b/>
                <w:sz w:val="20"/>
              </w:rPr>
              <w:t>Periodo</w:t>
            </w:r>
          </w:p>
        </w:tc>
        <w:tc>
          <w:tcPr>
            <w:tcW w:type="dxa" w:w="7087"/>
            <w:shd w:val="clear" w:color="auto" w:fill="EEF3F8"/>
          </w:tcPr>
          <w:p>
            <w:r/>
            <w:r>
              <w:rPr>
                <w:sz w:val="20"/>
              </w:rPr>
              <w:t>25 agosto – 29 settembre 2026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Contenuto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Elenco dettagliato delle attività svolte, per area e in ordine cronologico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4080"/>
        </w:rPr>
        <w:t>Sintesi</w:t>
      </w:r>
    </w:p>
    <w:p>
      <w:r>
        <w:t>Nel periodo il Cruscotto è passato da prototipo dimostrativo ad applicazione collegata ai dati reali, con accesso aziendale, profilazione per ente, area di amministrazione e strato di protezione dei dati. I risultati principali:</w:t>
      </w:r>
    </w:p>
    <w:p>
      <w:pPr>
        <w:pStyle w:val="ListBullet"/>
      </w:pPr>
      <w:r>
        <w:t>Acquisizione del prototipo e sua trasformazione in un'applicazione strutturata, manutenibile e verificabile.</w:t>
      </w:r>
    </w:p>
    <w:p>
      <w:pPr>
        <w:pStyle w:val="ListBullet"/>
      </w:pPr>
      <w:r>
        <w:t>Collegamento alla base dati reale: 15 viste di compatibilità costruite e validate sui dati effettivi, con mappatura completa di grafici, tabelle e chiavi ente.</w:t>
      </w:r>
    </w:p>
    <w:p>
      <w:pPr>
        <w:pStyle w:val="ListBullet"/>
      </w:pPr>
      <w:r>
        <w:t>Conto Annuale interamente su dati reali: 12 schede su 12, con filtri dinamici a cascata e selettore ente.</w:t>
      </w:r>
    </w:p>
    <w:p>
      <w:pPr>
        <w:pStyle w:val="ListBullet"/>
      </w:pPr>
      <w:r>
        <w:t>Accesso con credenziali aziendali (single sign-on) e profilazione: DFP, amministratore, responsabile HR di ente, con perimetro dei dati per codice fiscale.</w:t>
      </w:r>
    </w:p>
    <w:p>
      <w:pPr>
        <w:pStyle w:val="ListBullet"/>
      </w:pPr>
      <w:r>
        <w:t>Strato di protezione dei dati tra applicazione e base dati, attivato in staging.</w:t>
      </w:r>
    </w:p>
    <w:p>
      <w:pPr>
        <w:pStyle w:val="ListBullet"/>
      </w:pPr>
      <w:r>
        <w:t>Pannello di amministrazione operativo: attivazione delle schede, statistiche d'uso e registri di accessi, eventi ed errori.</w:t>
      </w:r>
    </w:p>
    <w:p>
      <w:pPr>
        <w:pStyle w:val="ListBullet"/>
      </w:pPr>
      <w:r>
        <w:t>Meccanismo di aggiornamento sicuro delle versioni e identità grafica (font, favicon).</w:t>
      </w:r>
    </w:p>
    <w:p>
      <w:pPr>
        <w:pStyle w:val="ListBullet"/>
      </w:pPr>
      <w:r>
        <w:t>Documentazione: report tecnici per committente e sistemisti e wiki di progetto con manuale utente.</w:t>
      </w:r>
    </w:p>
    <w:p/>
    <w:p>
      <w:pPr>
        <w:pStyle w:val="Heading2"/>
      </w:pPr>
      <w:r>
        <w:rPr>
          <w:rFonts w:ascii="Calibri" w:hAnsi="Calibri"/>
          <w:color w:val="004080"/>
        </w:rPr>
        <w:t>Il periodo in numeri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6520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Indicatore</w:t>
            </w:r>
          </w:p>
        </w:tc>
        <w:tc>
          <w:tcPr>
            <w:tcW w:type="dxa" w:w="2835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Valore</w:t>
            </w:r>
          </w:p>
        </w:tc>
      </w:tr>
      <w:tr>
        <w:tc>
          <w:tcPr>
            <w:tcW w:type="dxa" w:w="6520"/>
          </w:tcPr>
          <w:p>
            <w:r/>
            <w:r>
              <w:rPr>
                <w:b/>
                <w:sz w:val="20"/>
              </w:rPr>
              <w:t>Interventi registrati nel periodo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oltre 120</w:t>
            </w:r>
          </w:p>
        </w:tc>
      </w:tr>
      <w:tr>
        <w:tc>
          <w:tcPr>
            <w:tcW w:type="dxa" w:w="6520"/>
            <w:shd w:val="clear" w:color="auto" w:fill="EEF3F8"/>
          </w:tcPr>
          <w:p>
            <w:r/>
            <w:r>
              <w:rPr>
                <w:b/>
                <w:sz w:val="20"/>
              </w:rPr>
              <w:t>Schede Conto Annuale collegate ai dati reali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12 su 12</w:t>
            </w:r>
          </w:p>
        </w:tc>
      </w:tr>
      <w:tr>
        <w:tc>
          <w:tcPr>
            <w:tcW w:type="dxa" w:w="6520"/>
          </w:tcPr>
          <w:p>
            <w:r/>
            <w:r>
              <w:rPr>
                <w:b/>
                <w:sz w:val="20"/>
              </w:rPr>
              <w:t>Viste dati di compatibilità prodotte e validate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15 (più 13 viste predisposte)</w:t>
            </w:r>
          </w:p>
        </w:tc>
      </w:tr>
      <w:tr>
        <w:tc>
          <w:tcPr>
            <w:tcW w:type="dxa" w:w="6520"/>
            <w:shd w:val="clear" w:color="auto" w:fill="EEF3F8"/>
          </w:tcPr>
          <w:p>
            <w:r/>
            <w:r>
              <w:rPr>
                <w:b/>
                <w:sz w:val="20"/>
              </w:rPr>
              <w:t>Tabelle mappate rispetto ai grafici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54</w:t>
            </w:r>
          </w:p>
        </w:tc>
      </w:tr>
      <w:tr>
        <w:tc>
          <w:tcPr>
            <w:tcW w:type="dxa" w:w="6520"/>
          </w:tcPr>
          <w:p>
            <w:r/>
            <w:r>
              <w:rPr>
                <w:b/>
                <w:sz w:val="20"/>
              </w:rPr>
              <w:t>Componenti riorganizzati sul livello di servizio unico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46</w:t>
            </w:r>
          </w:p>
        </w:tc>
      </w:tr>
      <w:tr>
        <w:tc>
          <w:tcPr>
            <w:tcW w:type="dxa" w:w="6520"/>
            <w:shd w:val="clear" w:color="auto" w:fill="EEF3F8"/>
          </w:tcPr>
          <w:p>
            <w:r/>
            <w:r>
              <w:rPr>
                <w:b/>
                <w:sz w:val="20"/>
              </w:rPr>
              <w:t>Documenti tecnici consegnati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oltre 15 (Markdown e PDF)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4080"/>
        </w:rPr>
        <w:t>Attività svolte per area</w:t>
      </w:r>
    </w:p>
    <w:p>
      <w:pPr>
        <w:pStyle w:val="Heading2"/>
      </w:pPr>
      <w:r>
        <w:rPr>
          <w:rFonts w:ascii="Calibri" w:hAnsi="Calibri"/>
          <w:color w:val="004080"/>
        </w:rPr>
        <w:t>1. Acquisizione e ristrutturazione dell'applicazione</w:t>
      </w:r>
    </w:p>
    <w:p>
      <w:r>
        <w:rPr>
          <w:i/>
          <w:color w:val="555F6B"/>
        </w:rPr>
        <w:t>Periodo: 25 – 27 agosto</w:t>
      </w:r>
    </w:p>
    <w:p>
      <w:r>
        <w:t>Il prototipo iniziale è stato acquisito, reso funzionante nell'ambiente di sviluppo e riorganizzato per poter crescere in modo ordinato.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551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Attività</w:t>
            </w:r>
          </w:p>
        </w:tc>
        <w:tc>
          <w:tcPr>
            <w:tcW w:type="dxa" w:w="6803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Dettaglio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Acquisizione del codice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Importazione del progetto, avvio dell'applicazione e analisi iniziale della struttura e delle dipendenze.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Configurazione per ambienti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Un unico punto di configurazione per gli indirizzi dei servizi, senza valori scritti nel codice; porte e ricaricamento adattati all'ambiente locale e a quello gestito.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Livello di servizio unico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Creati 18 servizi che centralizzano l'accesso ai dati; 12 componenti di caricamento dati semplificati; 46 componenti di sezione e grafico non accedono più direttamente alla base dati.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Componenti riutilizzabili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Mattoni comuni per indicatori, griglie, card dei grafici, stati di caricamento/errore/vuoto, tema dei grafici e formattazione dei numeri: interfaccia uniforme in tutte le schede.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Tipizzazione dei dati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I servizi principali del Conto Annuale sono stati tipizzati con i tipi generati dalla base dati, eliminando i tipi generici.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Primo collegamento ai dati reali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Analisi per età, Benchmark, Cessazioni, Genere, Progressioni, Lavoro agile e flessibile, Tasso di turnover e di sostituzione collegati alle tabelle reali; i dati ancora dimostrativi sono contrassegnati.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Pulizia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Rimozione di codice inutilizzato e di file non pertinenti al prodotto; nome del pacchetto e istruzioni di avvio (README) aggiornati.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080"/>
        </w:rPr>
        <w:t>2. Qualità, robustezza e prestazioni</w:t>
      </w:r>
    </w:p>
    <w:p>
      <w:r>
        <w:rPr>
          <w:i/>
          <w:color w:val="555F6B"/>
        </w:rPr>
        <w:t>Periodo: 26 – 27 agosto</w:t>
      </w:r>
    </w:p>
    <w:p>
      <w:r>
        <w:t>Interventi per rendere l'applicazione più stabile, veloce e controllabile.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551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Attività</w:t>
            </w:r>
          </w:p>
        </w:tc>
        <w:tc>
          <w:tcPr>
            <w:tcW w:type="dxa" w:w="6803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Dettaglio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Protezione dagli errori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Componente che impedisce lo «schermo bianco» quando una parte della pagina va in errore; gestione centralizzata degli errori di caricamento con messaggi all'utente.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Regole di qualità automatiche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Controlli automatici che impediscono l'accesso diretto alla base dati fuori dai servizi; errori di analisi statica azzerati.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Stile del codice uniforme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Formattazione automatica e regole comuni applicate a 175 file.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Prestazioni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Caricamento delle pagine a richiesta (suddivisione del pacchetto) e impostazioni di cache dei dati più efficienti.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Test automatici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Primi test unitari sulle trasformazioni dei dati di età, genere e cessazioni.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Correzioni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Chiavi duplicate nei KPI, grafici radar senza dati, avvisi di navigazione eliminati.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080"/>
        </w:rPr>
        <w:t>3. Autenticazione e profilazione degli utenti</w:t>
      </w:r>
    </w:p>
    <w:p>
      <w:r>
        <w:rPr>
          <w:i/>
          <w:color w:val="555F6B"/>
        </w:rPr>
        <w:t>Periodo: 2 – 29 settembre</w:t>
      </w:r>
    </w:p>
    <w:p>
      <w:r>
        <w:t>Introdotto l'accesso con le credenziali aziendali (Keycloak) e definita la regola che stabilisce chi vede quali dati.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551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Attività</w:t>
            </w:r>
          </w:p>
        </w:tc>
        <w:tc>
          <w:tcPr>
            <w:tcW w:type="dxa" w:w="6803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Dettaglio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Accesso single sign-on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Login con redirect e protocollo sicuro (PKCE), senza segreti nell'applicazione; rinnovo automatico della sessione; verificato end-to-end in locale con l'ambiente reale.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Solo accesso aziendale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Con Keycloak attivo la pagina di accesso mostra soltanto il pulsante «Accedi con SSO»: ruolo ed ente arrivano dal profilo aziendale.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Mappatura dei ruoli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Riconoscimento dei ruoli amministrativi (DFP, Formez, amministratore unico) e del responsabile HR di ente; tabella dei profili allineata alle combinazioni di ruoli reali.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Perimetro per ente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Lettura dell'ente dal token: prima tramite codice ISTAT, poi in modo definitivo tramite codice fiscale dell'ente (claim «enti_cf»), con verifica sui dati reali (Comune di Roma, Sapienza).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Protezione dalle fughe di dati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Un responsabile HR senza ente associato non vede dati aggregati nazionali; un ruolo non riconosciuto viene bloccato.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Separazione DFP / amministratore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La vista su tutti gli enti non dà più accesso al pannello di amministrazione: regola applicata sia nell'applicazione sia nello strato di protezione dei dati.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Selettore ente per il DFP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Ricerca e selezione di una singola amministrazione, riservata agli utenti DFP.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Utenti non autorizzati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Schermata dedicata «Accesso non autorizzato» con pulsante Esci, invece del pulsante di accesso.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Contratto dei claim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Documento operativo per chi gestisce Keycloak con i dati da inserire nel token (ruoli, codice fiscale ente).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080"/>
        </w:rPr>
        <w:t>4. Allineamento alla base dati reale</w:t>
      </w:r>
    </w:p>
    <w:p>
      <w:r>
        <w:rPr>
          <w:i/>
          <w:color w:val="555F6B"/>
        </w:rPr>
        <w:t>Periodo: 3 – 8 settembre</w:t>
      </w:r>
    </w:p>
    <w:p>
      <w:r>
        <w:t>Studio della base dati reale e costruzione di viste che la rendono compatibile con l'applicazione, senza modificare l'interfaccia.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551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Attività</w:t>
            </w:r>
          </w:p>
        </w:tc>
        <w:tc>
          <w:tcPr>
            <w:tcW w:type="dxa" w:w="6803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Dettaglio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Mappatura grafici ↔ tabelle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Per ogni grafico e sezione: tabelle utilizzate, chiave ente e colonne lette (54 tabelle), con scheletro SQL delle viste da ricreare.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Studio della base dati reale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Analisi della struttura a dizionario (64 elementi e 27 indicatori), individuazione del codice fiscale come chiave ente e piano di allineamento.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Anagrafica enti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Vista degli enti costruita e verificata: 23.594 enti.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Indicatori KPI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Trasformazione dei dati a dizionario in tabella per ente (264 enti monitorati, 78 metriche) e viste di rilevazione KPI.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Viste del Conto Annuale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Sei viste occupazionali dai Conti Annuali reali: occupazione (1,2 milioni di righe), assunzioni, cessazioni, età (2,8 milioni), formazione, lavoro flessibile; collegamento agli enti tramite codice fiscale (12.274 corrispondenze verificate).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Tabelle di decodifica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Causali di assunzione/cessazione, comparti e contratti, fasce d'età e qualifiche per esteso (corrispondenza verificata al 100%), passaggi di qualifica.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Viste predisposte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13 viste conformi ma ancora vuote per le fonti non disponibili (InPA, Syllabus, competenze, PTFP), verificate su una base dati pulita.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Strumenti per i colleghi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Script per l'esportazione della base dati e documento «vista → tabelle sorgenti → query» con tutte le interrogazioni.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080"/>
        </w:rPr>
        <w:t>5. Conto Annuale su dati reali</w:t>
      </w:r>
    </w:p>
    <w:p>
      <w:r>
        <w:rPr>
          <w:i/>
          <w:color w:val="555F6B"/>
        </w:rPr>
        <w:t>Periodo: 10 – 29 settembre</w:t>
      </w:r>
    </w:p>
    <w:p>
      <w:r>
        <w:t>Tutte le 12 schede del Conto Annuale sono state collegate alle funzioni di calcolo della base dati, secondo le mappature condivise.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551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Attività</w:t>
            </w:r>
          </w:p>
        </w:tc>
        <w:tc>
          <w:tcPr>
            <w:tcW w:type="dxa" w:w="6803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Dettaglio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Analisi per età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Prima scheda collegata e verificata a schermo; definito lo schema replicato poi su tutte le altre.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Anzianità di servizio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Quattro indicatori, distribuzione ed evoluzione per genere.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Assunti per causale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Indicatori e grafici su dati reali; rimossa una voce di menu non più prevista.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Cessazioni dal servizio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Indicatori e grafici su dati reali.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Tasso di turnover e di sostituzione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Ultime due schede del primo blocco.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Sei schede del secondo blocco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Progressioni, Analisi del personale, Lavoro flessibile, Formazione, Analisi per genere e Lavoro agile, verificate una per una rispetto alle mappature.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Rifiniture richieste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Filtro Genere bloccato dove non applicabile, titoli senza anno fisso, note e etichette chiarite, grafico non previsto rimosso.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Filtri dinamici a cascata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Opzioni dei filtri lette dai dati, con azzeramento a catena; nuovo ordine Comparto → Macrocategoria → Categoria.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Documentazione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Riepilogo tecnico della scheda Età, documentazione tecnica delle schede e nota di metodo; sei file di mappatura.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080"/>
        </w:rPr>
        <w:t>6. Navigazione e dati dimostrativi</w:t>
      </w:r>
    </w:p>
    <w:p>
      <w:r>
        <w:rPr>
          <w:i/>
          <w:color w:val="555F6B"/>
        </w:rPr>
        <w:t>Periodo: 14 – 22 settembre</w:t>
      </w:r>
    </w:p>
    <w:p>
      <w:r>
        <w:t>Interventi sull'esperienza di navigazione e sulla chiarezza dei dati non ancora reali.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551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Attività</w:t>
            </w:r>
          </w:p>
        </w:tc>
        <w:tc>
          <w:tcPr>
            <w:tcW w:type="dxa" w:w="6803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Dettaglio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Tasto «Indietro» del browser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La navigazione tra le sezioni è registrata nella cronologia: il tasto Indietro riporta alla vista precedente.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Correzione di una pagina non trovata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Risolto l'errore sulla scheda «Assunti per causale».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Modalità «N/D»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Interruttore centrale che mostra «non disponibile» al posto dei valori dimostrativi; rettifiche ai menu.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Avviso dati dimostrativi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Banner «Dati a scopo dimostrativo» su tutte le sezioni ancora non collegate (InPA, Minerva, Syllabus, Lavoro Pubblico, D1 e D3); nessun avviso sul Conto Annuale, interamente reale.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080"/>
        </w:rPr>
        <w:t>7. Pannello di amministrazione</w:t>
      </w:r>
    </w:p>
    <w:p>
      <w:r>
        <w:rPr>
          <w:i/>
          <w:color w:val="555F6B"/>
        </w:rPr>
        <w:t>Periodo: 17 – 24 settembre</w:t>
      </w:r>
    </w:p>
    <w:p>
      <w:r>
        <w:t>Area riservata agli amministratori per governare le funzionalità e monitorare l'uso.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551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Attività</w:t>
            </w:r>
          </w:p>
        </w:tc>
        <w:tc>
          <w:tcPr>
            <w:tcW w:type="dxa" w:w="6803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Dettaglio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Gestione delle schede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Attivazione e disattivazione delle schede con effetto immediato per tutti gli utenti, salvata nella base dati.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Statistiche d'uso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Grafico delle schede attive/disattive e delle schede più consultate.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Registri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Registrazione reale di accessi, eventi ed errori (senza dati tecnici sensibili), consultazione e svuotamento.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Schema dati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Script SQL delle tabelle di amministrazione aggiornato.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Guida tecnica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Documento per replicare l'area di amministrazione su altri progetti (schema, raccolta dati, sicurezza, checklist).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080"/>
        </w:rPr>
        <w:t>8. Sicurezza: strato di protezione dei dati</w:t>
      </w:r>
    </w:p>
    <w:p>
      <w:r>
        <w:rPr>
          <w:i/>
          <w:color w:val="555F6B"/>
        </w:rPr>
        <w:t>Periodo: 23 – 25 settembre</w:t>
      </w:r>
    </w:p>
    <w:p>
      <w:r>
        <w:t>Servizio intermedio tra applicazione e base dati che verifica l'identità dell'utente e applica il perimetro dei dati.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551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Attività</w:t>
            </w:r>
          </w:p>
        </w:tc>
        <w:tc>
          <w:tcPr>
            <w:tcW w:type="dxa" w:w="6803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Dettaglio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Pacchetto pronto al rilascio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Servizio di protezione con configurazione, verifiche di sicurezza e istruzioni per il sistemista.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Regole sui dati (RLS)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Bozza delle regole di accesso per ente e adeguamento delle funzioni di calcolo, con sequenza consigliata di attivazione.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Aggancio «a interruttore»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L'applicazione usa il servizio di protezione solo quando è configurato, senza impatti sugli altri ambienti.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Messa in esercizio in staging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Diagnosi e soluzione dei problemi di avvio: tolleranza per piccoli sfasamenti dell'orologio dei server, correzione SQL suggerita al sistemista, chiamate amministrative eseguite solo dopo l'accesso.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080"/>
        </w:rPr>
        <w:t>9. Rilascio, versioni e identità grafica</w:t>
      </w:r>
    </w:p>
    <w:p>
      <w:r>
        <w:rPr>
          <w:i/>
          <w:color w:val="555F6B"/>
        </w:rPr>
        <w:t>Periodo: 21 – 25 settembre</w:t>
      </w:r>
    </w:p>
    <w:p>
      <w:r>
        <w:t>Accorgimenti perché gli utenti vedano sempre la versione più recente.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551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Attività</w:t>
            </w:r>
          </w:p>
        </w:tc>
        <w:tc>
          <w:tcPr>
            <w:tcW w:type="dxa" w:w="6803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Dettaglio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Aggiornamento sicuro delle versioni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Identificativo univoco a ogni rilascio, regole di cache per il server web e banner «Nuova versione disponibile — Ricarica».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Icona dell'applicazione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Stemma come favicon, con aggiornamento forzato nei browser.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Font Titillium Web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Font istituzionale incluso nell'applicazione, senza richieste a servizi esterni (compatibile con le politiche di sicurezza).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080"/>
        </w:rPr>
        <w:t>10. Documentazione e wiki di progetto</w:t>
      </w:r>
    </w:p>
    <w:p>
      <w:r>
        <w:rPr>
          <w:i/>
          <w:color w:val="555F6B"/>
        </w:rPr>
        <w:t>Periodo: 26 agosto – 25 settembre</w:t>
      </w:r>
    </w:p>
    <w:p>
      <w:r>
        <w:t>Documenti per committente, esperti e sistemisti, e wiki pubblicabile.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551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Attività</w:t>
            </w:r>
          </w:p>
        </w:tc>
        <w:tc>
          <w:tcPr>
            <w:tcW w:type="dxa" w:w="6803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Dettaglio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Report di ristrutturazione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Report delle attività con esempi «prima/dopo», schermate e mappa dei dati dimostrativi, in versione definitiva e «attività in corso», senza riferimenti a strumenti esterni.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Domande tecniche al committente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Sette aree di domande (enti/comuni, protezione dei dati, Keycloak, amministrazione, percorsi guidati, dati, rilascio) con i punti bloccanti evidenziati.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Documenti per i sistemisti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Mappature dati, viste SQL e loro sorgenti, contratto dei claim, regole di accesso, istruzioni per lo strato di protezione.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r/>
            <w:r>
              <w:rPr>
                <w:b/>
                <w:sz w:val="20"/>
              </w:rPr>
              <w:t>Wiki di progetto</w:t>
            </w:r>
          </w:p>
        </w:tc>
        <w:tc>
          <w:tcPr>
            <w:tcW w:type="dxa" w:w="6803"/>
            <w:shd w:val="clear" w:color="auto" w:fill="EEF3F8"/>
          </w:tcPr>
          <w:p>
            <w:r/>
            <w:r>
              <w:rPr>
                <w:sz w:val="20"/>
              </w:rPr>
              <w:t>Manuale utente, ruoli e accessi, pannello di gestione, funzionalità, architettura tecnica e pagina «Stato e attività» con le note di rilascio; registro formale, menu laterale e collegamenti nel formato della wiki.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04080"/>
        </w:rPr>
        <w:t>Cronologia</w:t>
      </w:r>
    </w:p>
    <w:p>
      <w:r>
        <w:t>Principali attività per giornata di lavoro.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417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7937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Attività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20"/>
              </w:rPr>
              <w:t>25/08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Acquisizione del prototipo, configurazione per ambienti, livello di servizio unico.</w:t>
            </w:r>
          </w:p>
        </w:tc>
      </w:tr>
      <w:tr>
        <w:tc>
          <w:tcPr>
            <w:tcW w:type="dxa" w:w="1417"/>
            <w:shd w:val="clear" w:color="auto" w:fill="EEF3F8"/>
          </w:tcPr>
          <w:p>
            <w:r/>
            <w:r>
              <w:rPr>
                <w:b/>
                <w:sz w:val="20"/>
              </w:rPr>
              <w:t>26/08</w:t>
            </w:r>
          </w:p>
        </w:tc>
        <w:tc>
          <w:tcPr>
            <w:tcW w:type="dxa" w:w="7937"/>
            <w:shd w:val="clear" w:color="auto" w:fill="EEF3F8"/>
          </w:tcPr>
          <w:p>
            <w:r/>
            <w:r>
              <w:rPr>
                <w:sz w:val="20"/>
              </w:rPr>
              <w:t>Primo collegamento ai dati reali, componenti riutilizzabili, regole di qualità, prestazioni, test, report di ristrutturazione.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20"/>
              </w:rPr>
              <w:t>27/08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Protezione dagli errori, stile del codice uniforme, documento di domande tecniche.</w:t>
            </w:r>
          </w:p>
        </w:tc>
      </w:tr>
      <w:tr>
        <w:tc>
          <w:tcPr>
            <w:tcW w:type="dxa" w:w="1417"/>
            <w:shd w:val="clear" w:color="auto" w:fill="EEF3F8"/>
          </w:tcPr>
          <w:p>
            <w:r/>
            <w:r>
              <w:rPr>
                <w:b/>
                <w:sz w:val="20"/>
              </w:rPr>
              <w:t>31/08</w:t>
            </w:r>
          </w:p>
        </w:tc>
        <w:tc>
          <w:tcPr>
            <w:tcW w:type="dxa" w:w="7937"/>
            <w:shd w:val="clear" w:color="auto" w:fill="EEF3F8"/>
          </w:tcPr>
          <w:p>
            <w:r/>
            <w:r>
              <w:rPr>
                <w:sz w:val="20"/>
              </w:rPr>
              <w:t>Revisione dei report per il committente (versione «attività in corso»).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20"/>
              </w:rPr>
              <w:t>02/09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Accesso con credenziali aziendali (Keycloak) e mappatura dei ruoli.</w:t>
            </w:r>
          </w:p>
        </w:tc>
      </w:tr>
      <w:tr>
        <w:tc>
          <w:tcPr>
            <w:tcW w:type="dxa" w:w="1417"/>
            <w:shd w:val="clear" w:color="auto" w:fill="EEF3F8"/>
          </w:tcPr>
          <w:p>
            <w:r/>
            <w:r>
              <w:rPr>
                <w:b/>
                <w:sz w:val="20"/>
              </w:rPr>
              <w:t>03/09</w:t>
            </w:r>
          </w:p>
        </w:tc>
        <w:tc>
          <w:tcPr>
            <w:tcW w:type="dxa" w:w="7937"/>
            <w:shd w:val="clear" w:color="auto" w:fill="EEF3F8"/>
          </w:tcPr>
          <w:p>
            <w:r/>
            <w:r>
              <w:rPr>
                <w:sz w:val="20"/>
              </w:rPr>
              <w:t>Lettura dell'ente dal token; mappatura grafici ↔ tabelle e scheletro delle viste.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20"/>
              </w:rPr>
              <w:t>07/09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Studio della base dati reale; viste enti, KPI, Conto Annuale e decodifiche.</w:t>
            </w:r>
          </w:p>
        </w:tc>
      </w:tr>
      <w:tr>
        <w:tc>
          <w:tcPr>
            <w:tcW w:type="dxa" w:w="1417"/>
            <w:shd w:val="clear" w:color="auto" w:fill="EEF3F8"/>
          </w:tcPr>
          <w:p>
            <w:r/>
            <w:r>
              <w:rPr>
                <w:b/>
                <w:sz w:val="20"/>
              </w:rPr>
              <w:t>08/09</w:t>
            </w:r>
          </w:p>
        </w:tc>
        <w:tc>
          <w:tcPr>
            <w:tcW w:type="dxa" w:w="7937"/>
            <w:shd w:val="clear" w:color="auto" w:fill="EEF3F8"/>
          </w:tcPr>
          <w:p>
            <w:r/>
            <w:r>
              <w:rPr>
                <w:sz w:val="20"/>
              </w:rPr>
              <w:t>Viste predisposte, documento viste/sorgenti/query, verifica dei contenuti.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20"/>
              </w:rPr>
              <w:t>10/09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Contratto dei claim; scheda Analisi per età su dati reali; selettore ente DFP.</w:t>
            </w:r>
          </w:p>
        </w:tc>
      </w:tr>
      <w:tr>
        <w:tc>
          <w:tcPr>
            <w:tcW w:type="dxa" w:w="1417"/>
            <w:shd w:val="clear" w:color="auto" w:fill="EEF3F8"/>
          </w:tcPr>
          <w:p>
            <w:r/>
            <w:r>
              <w:rPr>
                <w:b/>
                <w:sz w:val="20"/>
              </w:rPr>
              <w:t>12/09</w:t>
            </w:r>
          </w:p>
        </w:tc>
        <w:tc>
          <w:tcPr>
            <w:tcW w:type="dxa" w:w="7937"/>
            <w:shd w:val="clear" w:color="auto" w:fill="EEF3F8"/>
          </w:tcPr>
          <w:p>
            <w:r/>
            <w:r>
              <w:rPr>
                <w:sz w:val="20"/>
              </w:rPr>
              <w:t>Schede Anzianità, Assunti, Cessazioni, Turnover e Sostituzione su dati reali.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20"/>
              </w:rPr>
              <w:t>14/09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Tasto Indietro, modalità N/D, correzioni ai menu, nota di metodo, mappature.</w:t>
            </w:r>
          </w:p>
        </w:tc>
      </w:tr>
      <w:tr>
        <w:tc>
          <w:tcPr>
            <w:tcW w:type="dxa" w:w="1417"/>
            <w:shd w:val="clear" w:color="auto" w:fill="EEF3F8"/>
          </w:tcPr>
          <w:p>
            <w:r/>
            <w:r>
              <w:rPr>
                <w:b/>
                <w:sz w:val="20"/>
              </w:rPr>
              <w:t>16/09</w:t>
            </w:r>
          </w:p>
        </w:tc>
        <w:tc>
          <w:tcPr>
            <w:tcW w:type="dxa" w:w="7937"/>
            <w:shd w:val="clear" w:color="auto" w:fill="EEF3F8"/>
          </w:tcPr>
          <w:p>
            <w:r/>
            <w:r>
              <w:rPr>
                <w:sz w:val="20"/>
              </w:rPr>
              <w:t>Sei schede del secondo blocco del Conto Annuale su dati reali.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20"/>
              </w:rPr>
              <w:t>17/09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Rifiniture schede; sezione «Schede» del pannello di amministrazione; perimetro per codice fiscale.</w:t>
            </w:r>
          </w:p>
        </w:tc>
      </w:tr>
      <w:tr>
        <w:tc>
          <w:tcPr>
            <w:tcW w:type="dxa" w:w="1417"/>
            <w:shd w:val="clear" w:color="auto" w:fill="EEF3F8"/>
          </w:tcPr>
          <w:p>
            <w:r/>
            <w:r>
              <w:rPr>
                <w:b/>
                <w:sz w:val="20"/>
              </w:rPr>
              <w:t>18/09</w:t>
            </w:r>
          </w:p>
        </w:tc>
        <w:tc>
          <w:tcPr>
            <w:tcW w:type="dxa" w:w="7937"/>
            <w:shd w:val="clear" w:color="auto" w:fill="EEF3F8"/>
          </w:tcPr>
          <w:p>
            <w:r/>
            <w:r>
              <w:rPr>
                <w:sz w:val="20"/>
              </w:rPr>
              <w:t>Pannello di amministrazione collegato alla base dati (schede e registri).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20"/>
              </w:rPr>
              <w:t>21–22/09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Favicon, aggiornamento sicuro delle versioni, ruoli consentiti, avvisi dati dimostrativi.</w:t>
            </w:r>
          </w:p>
        </w:tc>
      </w:tr>
      <w:tr>
        <w:tc>
          <w:tcPr>
            <w:tcW w:type="dxa" w:w="1417"/>
            <w:shd w:val="clear" w:color="auto" w:fill="EEF3F8"/>
          </w:tcPr>
          <w:p>
            <w:r/>
            <w:r>
              <w:rPr>
                <w:b/>
                <w:sz w:val="20"/>
              </w:rPr>
              <w:t>23/09</w:t>
            </w:r>
          </w:p>
        </w:tc>
        <w:tc>
          <w:tcPr>
            <w:tcW w:type="dxa" w:w="7937"/>
            <w:shd w:val="clear" w:color="auto" w:fill="EEF3F8"/>
          </w:tcPr>
          <w:p>
            <w:r/>
            <w:r>
              <w:rPr>
                <w:sz w:val="20"/>
              </w:rPr>
              <w:t>Strato di protezione dei dati, regole di accesso, aggancio a interruttore, wiki.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20"/>
              </w:rPr>
              <w:t>24/09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Wiki riscritta (manuale e architettura), profili, separazione DFP/amministratore, guida tecnica dell'area amministrazione.</w:t>
            </w:r>
          </w:p>
        </w:tc>
      </w:tr>
      <w:tr>
        <w:tc>
          <w:tcPr>
            <w:tcW w:type="dxa" w:w="1417"/>
            <w:shd w:val="clear" w:color="auto" w:fill="EEF3F8"/>
          </w:tcPr>
          <w:p>
            <w:r/>
            <w:r>
              <w:rPr>
                <w:b/>
                <w:sz w:val="20"/>
              </w:rPr>
              <w:t>25/09</w:t>
            </w:r>
          </w:p>
        </w:tc>
        <w:tc>
          <w:tcPr>
            <w:tcW w:type="dxa" w:w="7937"/>
            <w:shd w:val="clear" w:color="auto" w:fill="EEF3F8"/>
          </w:tcPr>
          <w:p>
            <w:r/>
            <w:r>
              <w:rPr>
                <w:sz w:val="20"/>
              </w:rPr>
              <w:t>Messa in esercizio in staging, font istituzionale, favicon, note di rilascio.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sz w:val="20"/>
              </w:rPr>
              <w:t>29/09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Schermata per utenti non autorizzati; nuovo ordine dei filtri del Conto Annuale.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B"/>
        <w:sz w:val="16"/>
      </w:rPr>
      <w:t>Cruscotto HR · Resoconto attività agosto – settembre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