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28BDA" w14:textId="77777777" w:rsidR="00015A81" w:rsidRDefault="00015A81" w:rsidP="00015A81">
      <w:pPr>
        <w:pStyle w:val="Ttulo1"/>
      </w:pPr>
      <w:r>
        <w:t xml:space="preserve">Proyecto Final </w:t>
      </w:r>
      <w:proofErr w:type="spellStart"/>
      <w:r>
        <w:t>Dev.f</w:t>
      </w:r>
      <w:proofErr w:type="spellEnd"/>
    </w:p>
    <w:p w14:paraId="247FAD48" w14:textId="77777777" w:rsidR="00015A81" w:rsidRPr="00EF0658" w:rsidRDefault="00015A81" w:rsidP="00015A81">
      <w:pPr>
        <w:tabs>
          <w:tab w:val="left" w:pos="6360"/>
        </w:tabs>
      </w:pPr>
      <w:r w:rsidRPr="00EF0658">
        <w:t xml:space="preserve">Para abordar de manera integral el análisis y desarrollo de algoritmos de Aprendizaje Automático sobre el </w:t>
      </w:r>
      <w:proofErr w:type="spellStart"/>
      <w:r w:rsidRPr="00EF0658">
        <w:t>dataset</w:t>
      </w:r>
      <w:proofErr w:type="spellEnd"/>
      <w:r w:rsidRPr="00EF0658">
        <w:t xml:space="preserve"> </w:t>
      </w:r>
      <w:r w:rsidRPr="00EF0658">
        <w:rPr>
          <w:b/>
          <w:bCs/>
        </w:rPr>
        <w:t>Electric_Vehicle_Population_Data.csv</w:t>
      </w:r>
      <w:r w:rsidRPr="00EF0658">
        <w:t xml:space="preserve">, estructuraremos una solución completa que abarca desde la definición estratégica del alcance hasta la implementación técnica del modelo clasificador y las recomendaciones de negocio. </w:t>
      </w:r>
    </w:p>
    <w:p w14:paraId="51275AD4" w14:textId="77777777" w:rsidR="00015A81" w:rsidRPr="00EF0658" w:rsidRDefault="00015A81" w:rsidP="00015A81">
      <w:pPr>
        <w:tabs>
          <w:tab w:val="left" w:pos="6360"/>
        </w:tabs>
      </w:pPr>
      <w:r w:rsidRPr="00EF0658">
        <w:t>A continuación, se detalla el desarrollo de cada uno de los puntos solicitados:</w:t>
      </w:r>
    </w:p>
    <w:p w14:paraId="6DD44F47" w14:textId="77777777" w:rsidR="00015A81" w:rsidRPr="00EF0658" w:rsidRDefault="00015A81" w:rsidP="00015A81">
      <w:pPr>
        <w:tabs>
          <w:tab w:val="left" w:pos="6360"/>
        </w:tabs>
        <w:rPr>
          <w:b/>
          <w:bCs/>
        </w:rPr>
      </w:pPr>
      <w:r w:rsidRPr="00EF0658">
        <w:rPr>
          <w:b/>
          <w:bCs/>
        </w:rPr>
        <w:t>1. Definición del Alcance del Análisis</w:t>
      </w:r>
    </w:p>
    <w:p w14:paraId="04F255F3" w14:textId="77777777" w:rsidR="00015A81" w:rsidRPr="00EF0658" w:rsidRDefault="00015A81" w:rsidP="00015A81">
      <w:pPr>
        <w:tabs>
          <w:tab w:val="left" w:pos="6360"/>
        </w:tabs>
      </w:pPr>
      <w:r w:rsidRPr="00EF0658">
        <w:t xml:space="preserve">El análisis de este </w:t>
      </w:r>
      <w:proofErr w:type="spellStart"/>
      <w:r w:rsidRPr="00EF0658">
        <w:t>dataset</w:t>
      </w:r>
      <w:proofErr w:type="spellEnd"/>
      <w:r w:rsidRPr="00EF0658">
        <w:t xml:space="preserve"> se define como </w:t>
      </w:r>
      <w:r w:rsidRPr="00EF0658">
        <w:rPr>
          <w:b/>
          <w:bCs/>
        </w:rPr>
        <w:t>Regional y centrado en un país específico</w:t>
      </w:r>
      <w:r w:rsidRPr="00EF0658">
        <w:t>.</w:t>
      </w:r>
    </w:p>
    <w:p w14:paraId="5FD80831" w14:textId="77777777" w:rsidR="00015A81" w:rsidRPr="00EF0658" w:rsidRDefault="00015A81" w:rsidP="00015A81">
      <w:pPr>
        <w:numPr>
          <w:ilvl w:val="0"/>
          <w:numId w:val="2"/>
        </w:numPr>
        <w:tabs>
          <w:tab w:val="left" w:pos="6360"/>
        </w:tabs>
      </w:pPr>
      <w:r w:rsidRPr="00EF0658">
        <w:rPr>
          <w:b/>
          <w:bCs/>
        </w:rPr>
        <w:t>Justificación:</w:t>
      </w:r>
      <w:r w:rsidRPr="00EF0658">
        <w:t xml:space="preserve"> Aunque los vehículos eléctricos (EV) representan un fenómeno de mercado global, los datos proporcionados corresponden exclusivamente al registro oficial de vehículos en el estado de </w:t>
      </w:r>
      <w:r w:rsidRPr="00EF0658">
        <w:rPr>
          <w:b/>
          <w:bCs/>
        </w:rPr>
        <w:t>Washington (WA), Estados Unidos</w:t>
      </w:r>
      <w:r w:rsidRPr="00EF0658">
        <w:t xml:space="preserve">. Por lo tanto, el modelo entrenado y las tendencias identificadas reflejarán las dinámicas macroeconómicas, la infraestructura de carga, los subsidios estatales (como los criterios de elegibilidad CAFV) y el comportamiento del consumidor de esta región particular de Norteamérica. </w:t>
      </w:r>
    </w:p>
    <w:p w14:paraId="7DBF337D" w14:textId="77777777" w:rsidR="00015A81" w:rsidRPr="00EF0658" w:rsidRDefault="00015A81" w:rsidP="00015A81">
      <w:pPr>
        <w:tabs>
          <w:tab w:val="left" w:pos="6360"/>
        </w:tabs>
        <w:rPr>
          <w:b/>
          <w:bCs/>
        </w:rPr>
      </w:pPr>
      <w:r w:rsidRPr="00EF0658">
        <w:rPr>
          <w:b/>
          <w:bCs/>
        </w:rPr>
        <w:t>2. Recopilación de Información de Contexto (</w:t>
      </w:r>
      <w:proofErr w:type="spellStart"/>
      <w:r w:rsidRPr="00EF0658">
        <w:rPr>
          <w:b/>
          <w:bCs/>
        </w:rPr>
        <w:t>Benchmark</w:t>
      </w:r>
      <w:proofErr w:type="spellEnd"/>
      <w:r w:rsidRPr="00EF0658">
        <w:rPr>
          <w:b/>
          <w:bCs/>
        </w:rPr>
        <w:t xml:space="preserve"> de la Industria)</w:t>
      </w:r>
    </w:p>
    <w:p w14:paraId="2B272DA2" w14:textId="77777777" w:rsidR="00015A81" w:rsidRPr="00EF0658" w:rsidRDefault="00015A81" w:rsidP="00015A81">
      <w:pPr>
        <w:tabs>
          <w:tab w:val="left" w:pos="6360"/>
        </w:tabs>
      </w:pPr>
      <w:r w:rsidRPr="00EF0658">
        <w:t xml:space="preserve">Para contextualizar los patrones y predicciones del </w:t>
      </w:r>
      <w:proofErr w:type="spellStart"/>
      <w:r w:rsidRPr="00EF0658">
        <w:t>dataset</w:t>
      </w:r>
      <w:proofErr w:type="spellEnd"/>
      <w:r w:rsidRPr="00EF0658">
        <w:t>, se integran las siguientes directrices extraídas de las principales agencias del sector:</w:t>
      </w:r>
    </w:p>
    <w:p w14:paraId="190E76FF" w14:textId="77777777" w:rsidR="00015A81" w:rsidRPr="00EF0658" w:rsidRDefault="00015A81" w:rsidP="00015A81">
      <w:pPr>
        <w:numPr>
          <w:ilvl w:val="0"/>
          <w:numId w:val="3"/>
        </w:numPr>
        <w:tabs>
          <w:tab w:val="left" w:pos="6360"/>
        </w:tabs>
      </w:pPr>
      <w:r w:rsidRPr="00EF0658">
        <w:rPr>
          <w:b/>
          <w:bCs/>
        </w:rPr>
        <w:t>Agencia Internacional de la Energía (AIE):</w:t>
      </w:r>
      <w:r w:rsidRPr="00EF0658">
        <w:t xml:space="preserve"> En sus reportes globales (</w:t>
      </w:r>
      <w:r w:rsidRPr="00EF0658">
        <w:rPr>
          <w:i/>
          <w:iCs/>
        </w:rPr>
        <w:t>Global EV Outlook</w:t>
      </w:r>
      <w:r w:rsidRPr="00EF0658">
        <w:t>), destaca que la autonomía media de las baterías y los costes iniciales (MSRP) son los dos factores más críticos que frenan o aceleran la adopción masiva.</w:t>
      </w:r>
    </w:p>
    <w:p w14:paraId="5AF7D1A1" w14:textId="77777777" w:rsidR="00015A81" w:rsidRPr="00EF0658" w:rsidRDefault="00015A81" w:rsidP="00015A81">
      <w:pPr>
        <w:numPr>
          <w:ilvl w:val="0"/>
          <w:numId w:val="3"/>
        </w:numPr>
        <w:tabs>
          <w:tab w:val="left" w:pos="6360"/>
        </w:tabs>
      </w:pPr>
      <w:proofErr w:type="spellStart"/>
      <w:r w:rsidRPr="00EF0658">
        <w:rPr>
          <w:b/>
          <w:bCs/>
        </w:rPr>
        <w:t>BloombergNEF</w:t>
      </w:r>
      <w:proofErr w:type="spellEnd"/>
      <w:r w:rsidRPr="00EF0658">
        <w:rPr>
          <w:b/>
          <w:bCs/>
        </w:rPr>
        <w:t xml:space="preserve"> (BNEF):</w:t>
      </w:r>
      <w:r w:rsidRPr="00EF0658">
        <w:t xml:space="preserve"> Indica que el mercado está </w:t>
      </w:r>
      <w:proofErr w:type="spellStart"/>
      <w:r w:rsidRPr="00EF0658">
        <w:t>transicionando</w:t>
      </w:r>
      <w:proofErr w:type="spellEnd"/>
      <w:r w:rsidRPr="00EF0658">
        <w:t xml:space="preserve"> rápidamente de vehículos híbridos enchufables (PHEV) hacia vehículos 100% eléctricos de batería (BEV) gracias a las economías de escala en la producción de celdas de litio.</w:t>
      </w:r>
    </w:p>
    <w:p w14:paraId="7031E1C8" w14:textId="77777777" w:rsidR="00015A81" w:rsidRPr="00EF0658" w:rsidRDefault="00015A81" w:rsidP="00015A81">
      <w:pPr>
        <w:numPr>
          <w:ilvl w:val="0"/>
          <w:numId w:val="3"/>
        </w:numPr>
        <w:tabs>
          <w:tab w:val="left" w:pos="6360"/>
        </w:tabs>
      </w:pPr>
      <w:r w:rsidRPr="00EF0658">
        <w:rPr>
          <w:b/>
          <w:bCs/>
        </w:rPr>
        <w:t>Políticas Gubernamentales (EE. UU. / WA):</w:t>
      </w:r>
      <w:r w:rsidRPr="00EF0658">
        <w:t xml:space="preserve"> Leyes como la </w:t>
      </w:r>
      <w:proofErr w:type="spellStart"/>
      <w:r w:rsidRPr="00EF0658">
        <w:rPr>
          <w:i/>
          <w:iCs/>
        </w:rPr>
        <w:t>Inflation</w:t>
      </w:r>
      <w:proofErr w:type="spellEnd"/>
      <w:r w:rsidRPr="00EF0658">
        <w:rPr>
          <w:i/>
          <w:iCs/>
        </w:rPr>
        <w:t xml:space="preserve"> </w:t>
      </w:r>
      <w:proofErr w:type="spellStart"/>
      <w:r w:rsidRPr="00EF0658">
        <w:rPr>
          <w:i/>
          <w:iCs/>
        </w:rPr>
        <w:t>Reduction</w:t>
      </w:r>
      <w:proofErr w:type="spellEnd"/>
      <w:r w:rsidRPr="00EF0658">
        <w:rPr>
          <w:i/>
          <w:iCs/>
        </w:rPr>
        <w:t xml:space="preserve"> </w:t>
      </w:r>
      <w:proofErr w:type="spellStart"/>
      <w:r w:rsidRPr="00EF0658">
        <w:rPr>
          <w:i/>
          <w:iCs/>
        </w:rPr>
        <w:t>Act</w:t>
      </w:r>
      <w:proofErr w:type="spellEnd"/>
      <w:r w:rsidRPr="00EF0658">
        <w:t xml:space="preserve"> (IRA) y los incentivos locales en Washington eximen de ciertos impuestos a los vehículos que califican como </w:t>
      </w:r>
      <w:proofErr w:type="spellStart"/>
      <w:r w:rsidRPr="00EF0658">
        <w:rPr>
          <w:i/>
          <w:iCs/>
        </w:rPr>
        <w:t>Clean</w:t>
      </w:r>
      <w:proofErr w:type="spellEnd"/>
      <w:r w:rsidRPr="00EF0658">
        <w:rPr>
          <w:i/>
          <w:iCs/>
        </w:rPr>
        <w:t xml:space="preserve"> Alternative Fuel </w:t>
      </w:r>
      <w:proofErr w:type="spellStart"/>
      <w:r w:rsidRPr="00EF0658">
        <w:rPr>
          <w:i/>
          <w:iCs/>
        </w:rPr>
        <w:t>Vehicle</w:t>
      </w:r>
      <w:proofErr w:type="spellEnd"/>
      <w:r w:rsidRPr="00EF0658">
        <w:t xml:space="preserve"> </w:t>
      </w:r>
      <w:r w:rsidRPr="00EF0658">
        <w:lastRenderedPageBreak/>
        <w:t xml:space="preserve">(CAFV), lo que altera drásticamente las decisiones de compra registradas en los datos. </w:t>
      </w:r>
    </w:p>
    <w:p w14:paraId="44AF9CC2" w14:textId="77777777" w:rsidR="00015A81" w:rsidRPr="00EF0658" w:rsidRDefault="00015A81" w:rsidP="00015A81">
      <w:pPr>
        <w:tabs>
          <w:tab w:val="left" w:pos="6360"/>
        </w:tabs>
        <w:rPr>
          <w:b/>
          <w:bCs/>
        </w:rPr>
      </w:pPr>
      <w:r w:rsidRPr="00EF0658">
        <w:rPr>
          <w:b/>
          <w:bCs/>
        </w:rPr>
        <w:t>3. Identificación de Tendencias Históricas e Histograma del Mercado</w:t>
      </w:r>
    </w:p>
    <w:p w14:paraId="201D95EC" w14:textId="77777777" w:rsidR="00015A81" w:rsidRPr="00EF0658" w:rsidRDefault="00015A81" w:rsidP="00015A81">
      <w:pPr>
        <w:tabs>
          <w:tab w:val="left" w:pos="6360"/>
        </w:tabs>
      </w:pPr>
      <w:r w:rsidRPr="00EF0658">
        <w:t xml:space="preserve">Al observar la muestra histórica del </w:t>
      </w:r>
      <w:proofErr w:type="spellStart"/>
      <w:r w:rsidRPr="00EF0658">
        <w:t>dataset</w:t>
      </w:r>
      <w:proofErr w:type="spellEnd"/>
      <w:r w:rsidRPr="00EF0658">
        <w:t>, podemos detectar patrones clave de producción, venta y distribución tecnológica:</w:t>
      </w:r>
    </w:p>
    <w:p w14:paraId="2A0D313D" w14:textId="77777777" w:rsidR="00015A81" w:rsidRPr="00EF0658" w:rsidRDefault="00015A81" w:rsidP="00015A81">
      <w:pPr>
        <w:numPr>
          <w:ilvl w:val="0"/>
          <w:numId w:val="4"/>
        </w:numPr>
        <w:tabs>
          <w:tab w:val="left" w:pos="6360"/>
        </w:tabs>
      </w:pPr>
      <w:r w:rsidRPr="00EF0658">
        <w:rPr>
          <w:b/>
          <w:bCs/>
        </w:rPr>
        <w:t>Evolución Tecnológica y Autonomía:</w:t>
      </w:r>
      <w:r w:rsidRPr="00EF0658">
        <w:t xml:space="preserve"> Modelos más antiguos (ej. Nissan </w:t>
      </w:r>
      <w:proofErr w:type="spellStart"/>
      <w:r w:rsidRPr="00EF0658">
        <w:t>Leaf</w:t>
      </w:r>
      <w:proofErr w:type="spellEnd"/>
      <w:r w:rsidRPr="00EF0658">
        <w:t xml:space="preserve"> 2013-2015) registran autonomías eléctricas (</w:t>
      </w:r>
      <w:r w:rsidRPr="00EF0658">
        <w:rPr>
          <w:i/>
          <w:iCs/>
        </w:rPr>
        <w:t>Electric Range</w:t>
      </w:r>
      <w:r w:rsidRPr="00EF0658">
        <w:t xml:space="preserve">) de entre 73 y 84 millas. En contraste, los modelos de años intermedios y recientes (ej. Tesla Model 3 y Model Y de 2019-2023) elevan la autonomía por encima de las 220-322 millas, reflejando el salto en la tecnología de almacenamiento energético. </w:t>
      </w:r>
    </w:p>
    <w:p w14:paraId="5726B4F8" w14:textId="77777777" w:rsidR="00015A81" w:rsidRPr="00EF0658" w:rsidRDefault="00015A81" w:rsidP="00015A81">
      <w:pPr>
        <w:numPr>
          <w:ilvl w:val="0"/>
          <w:numId w:val="4"/>
        </w:numPr>
        <w:tabs>
          <w:tab w:val="left" w:pos="6360"/>
        </w:tabs>
      </w:pPr>
      <w:r w:rsidRPr="00EF0658">
        <w:rPr>
          <w:b/>
          <w:bCs/>
        </w:rPr>
        <w:t>Transición de Tipos de EV:</w:t>
      </w:r>
      <w:r w:rsidRPr="00EF0658">
        <w:t xml:space="preserve"> Coexisten dos grandes segmentos: </w:t>
      </w:r>
      <w:r w:rsidRPr="00EF0658">
        <w:rPr>
          <w:b/>
          <w:bCs/>
        </w:rPr>
        <w:t>BEV</w:t>
      </w:r>
      <w:r w:rsidRPr="00EF0658">
        <w:t xml:space="preserve"> (</w:t>
      </w:r>
      <w:proofErr w:type="spellStart"/>
      <w:r w:rsidRPr="00EF0658">
        <w:rPr>
          <w:i/>
          <w:iCs/>
        </w:rPr>
        <w:t>Battery</w:t>
      </w:r>
      <w:proofErr w:type="spellEnd"/>
      <w:r w:rsidRPr="00EF0658">
        <w:rPr>
          <w:i/>
          <w:iCs/>
        </w:rPr>
        <w:t xml:space="preserve"> Electric </w:t>
      </w:r>
      <w:proofErr w:type="spellStart"/>
      <w:r w:rsidRPr="00EF0658">
        <w:rPr>
          <w:i/>
          <w:iCs/>
        </w:rPr>
        <w:t>Vehicle</w:t>
      </w:r>
      <w:proofErr w:type="spellEnd"/>
      <w:r w:rsidRPr="00EF0658">
        <w:t xml:space="preserve">) y </w:t>
      </w:r>
      <w:r w:rsidRPr="00EF0658">
        <w:rPr>
          <w:b/>
          <w:bCs/>
        </w:rPr>
        <w:t>PHEV</w:t>
      </w:r>
      <w:r w:rsidRPr="00EF0658">
        <w:t xml:space="preserve"> (</w:t>
      </w:r>
      <w:r w:rsidRPr="00EF0658">
        <w:rPr>
          <w:i/>
          <w:iCs/>
        </w:rPr>
        <w:t xml:space="preserve">Plug-in </w:t>
      </w:r>
      <w:proofErr w:type="spellStart"/>
      <w:r w:rsidRPr="00EF0658">
        <w:rPr>
          <w:i/>
          <w:iCs/>
        </w:rPr>
        <w:t>Hybrid</w:t>
      </w:r>
      <w:proofErr w:type="spellEnd"/>
      <w:r w:rsidRPr="00EF0658">
        <w:rPr>
          <w:i/>
          <w:iCs/>
        </w:rPr>
        <w:t xml:space="preserve"> Electric </w:t>
      </w:r>
      <w:proofErr w:type="spellStart"/>
      <w:r w:rsidRPr="00EF0658">
        <w:rPr>
          <w:i/>
          <w:iCs/>
        </w:rPr>
        <w:t>Vehicle</w:t>
      </w:r>
      <w:proofErr w:type="spellEnd"/>
      <w:r w:rsidRPr="00EF0658">
        <w:t xml:space="preserve">). La densidad de registros de marcas como Tesla denota un claro dominio del segmento BEV en el mercado </w:t>
      </w:r>
      <w:proofErr w:type="gramStart"/>
      <w:r w:rsidRPr="00EF0658">
        <w:t>premium ,</w:t>
      </w:r>
      <w:proofErr w:type="gramEnd"/>
      <w:r w:rsidRPr="00EF0658">
        <w:t xml:space="preserve"> mientras que marcas tradicionales como Ford o BMW han mantenido una presencia sostenida con vehículos PHEV de menor rango eléctrico autónomo (14-30 millas). </w:t>
      </w:r>
    </w:p>
    <w:p w14:paraId="02F976B3" w14:textId="77777777" w:rsidR="00015A81" w:rsidRPr="00EF0658" w:rsidRDefault="00015A81" w:rsidP="00015A81">
      <w:pPr>
        <w:tabs>
          <w:tab w:val="left" w:pos="6360"/>
        </w:tabs>
        <w:rPr>
          <w:b/>
          <w:bCs/>
        </w:rPr>
      </w:pPr>
      <w:r w:rsidRPr="00EF0658">
        <w:rPr>
          <w:b/>
          <w:bCs/>
        </w:rPr>
        <w:t>4. Análisis del Tamaño del Mercado y Segmentación</w:t>
      </w:r>
    </w:p>
    <w:p w14:paraId="374B5405" w14:textId="77777777" w:rsidR="00015A81" w:rsidRPr="00EF0658" w:rsidRDefault="00015A81" w:rsidP="00015A81">
      <w:pPr>
        <w:tabs>
          <w:tab w:val="left" w:pos="6360"/>
        </w:tabs>
      </w:pPr>
      <w:r w:rsidRPr="00EF0658">
        <w:t xml:space="preserve">El mercado de Washington se estructura en segmentos bien definidos por el </w:t>
      </w:r>
      <w:proofErr w:type="spellStart"/>
      <w:r w:rsidRPr="00EF0658">
        <w:t>dataset</w:t>
      </w:r>
      <w:proofErr w:type="spellEnd"/>
      <w:r w:rsidRPr="00EF0658">
        <w:t xml:space="preserve">: </w:t>
      </w:r>
    </w:p>
    <w:p w14:paraId="5FE316FD" w14:textId="77777777" w:rsidR="00015A81" w:rsidRPr="00EF0658" w:rsidRDefault="00015A81" w:rsidP="00015A81">
      <w:pPr>
        <w:numPr>
          <w:ilvl w:val="0"/>
          <w:numId w:val="5"/>
        </w:numPr>
        <w:tabs>
          <w:tab w:val="left" w:pos="6360"/>
        </w:tabs>
      </w:pPr>
      <w:r w:rsidRPr="00EF0658">
        <w:rPr>
          <w:b/>
          <w:bCs/>
        </w:rPr>
        <w:t>Segmento BEV de Alta Autonomía:</w:t>
      </w:r>
      <w:r w:rsidRPr="00EF0658">
        <w:t xml:space="preserve"> Liderado por Tesla (Model Y, Model 3, Model S) y nuevos competidores como Rivian. Tienen alta prioridad de elegibilidad CAFV y concentran el mayor volumen de adopción urbana (ej. ciudades con alta densidad como Seattle o Bothell). </w:t>
      </w:r>
    </w:p>
    <w:p w14:paraId="25F5CA38" w14:textId="77777777" w:rsidR="00015A81" w:rsidRPr="00EF0658" w:rsidRDefault="00015A81" w:rsidP="00015A81">
      <w:pPr>
        <w:numPr>
          <w:ilvl w:val="0"/>
          <w:numId w:val="5"/>
        </w:numPr>
        <w:tabs>
          <w:tab w:val="left" w:pos="6360"/>
        </w:tabs>
      </w:pPr>
      <w:r w:rsidRPr="00EF0658">
        <w:rPr>
          <w:b/>
          <w:bCs/>
        </w:rPr>
        <w:t>Segmento PHEV y BEV Urbano de Rango Corto:</w:t>
      </w:r>
      <w:r w:rsidRPr="00EF0658">
        <w:t xml:space="preserve"> Compuesto por utilitarios e híbridos de marcas tradicionales (Toyota </w:t>
      </w:r>
      <w:proofErr w:type="spellStart"/>
      <w:r w:rsidRPr="00EF0658">
        <w:t>Prius</w:t>
      </w:r>
      <w:proofErr w:type="spellEnd"/>
      <w:r w:rsidRPr="00EF0658">
        <w:t xml:space="preserve"> Prime, </w:t>
      </w:r>
      <w:proofErr w:type="gramStart"/>
      <w:r w:rsidRPr="00EF0658">
        <w:t>Jeep</w:t>
      </w:r>
      <w:proofErr w:type="gramEnd"/>
      <w:r w:rsidRPr="00EF0658">
        <w:t xml:space="preserve"> Wrangler, Kia Niro, Ford </w:t>
      </w:r>
      <w:proofErr w:type="spellStart"/>
      <w:r w:rsidRPr="00EF0658">
        <w:t>Fusion</w:t>
      </w:r>
      <w:proofErr w:type="spellEnd"/>
      <w:r w:rsidRPr="00EF0658">
        <w:t>). Muchas veces no resultan elegibles para todos los beneficios fiscales debido a su baja autonomía por batería (</w:t>
      </w:r>
      <w:r w:rsidRPr="00EF0658">
        <w:rPr>
          <w:i/>
          <w:iCs/>
        </w:rPr>
        <w:t xml:space="preserve">"Not eligible </w:t>
      </w:r>
      <w:proofErr w:type="spellStart"/>
      <w:r w:rsidRPr="00EF0658">
        <w:rPr>
          <w:i/>
          <w:iCs/>
        </w:rPr>
        <w:t>due</w:t>
      </w:r>
      <w:proofErr w:type="spellEnd"/>
      <w:r w:rsidRPr="00EF0658">
        <w:rPr>
          <w:i/>
          <w:iCs/>
        </w:rPr>
        <w:t xml:space="preserve"> </w:t>
      </w:r>
      <w:proofErr w:type="spellStart"/>
      <w:r w:rsidRPr="00EF0658">
        <w:rPr>
          <w:i/>
          <w:iCs/>
        </w:rPr>
        <w:t>to</w:t>
      </w:r>
      <w:proofErr w:type="spellEnd"/>
      <w:r w:rsidRPr="00EF0658">
        <w:rPr>
          <w:i/>
          <w:iCs/>
        </w:rPr>
        <w:t xml:space="preserve"> </w:t>
      </w:r>
      <w:proofErr w:type="spellStart"/>
      <w:r w:rsidRPr="00EF0658">
        <w:rPr>
          <w:i/>
          <w:iCs/>
        </w:rPr>
        <w:t>low</w:t>
      </w:r>
      <w:proofErr w:type="spellEnd"/>
      <w:r w:rsidRPr="00EF0658">
        <w:rPr>
          <w:i/>
          <w:iCs/>
        </w:rPr>
        <w:t xml:space="preserve"> </w:t>
      </w:r>
      <w:proofErr w:type="spellStart"/>
      <w:r w:rsidRPr="00EF0658">
        <w:rPr>
          <w:i/>
          <w:iCs/>
        </w:rPr>
        <w:t>battery</w:t>
      </w:r>
      <w:proofErr w:type="spellEnd"/>
      <w:r w:rsidRPr="00EF0658">
        <w:rPr>
          <w:i/>
          <w:iCs/>
        </w:rPr>
        <w:t xml:space="preserve"> </w:t>
      </w:r>
      <w:proofErr w:type="spellStart"/>
      <w:r w:rsidRPr="00EF0658">
        <w:rPr>
          <w:i/>
          <w:iCs/>
        </w:rPr>
        <w:t>range</w:t>
      </w:r>
      <w:proofErr w:type="spellEnd"/>
      <w:r w:rsidRPr="00EF0658">
        <w:rPr>
          <w:i/>
          <w:iCs/>
        </w:rPr>
        <w:t>"</w:t>
      </w:r>
      <w:r w:rsidRPr="00EF0658">
        <w:t xml:space="preserve">), pero representan un volumen de entrada muy competitivo para infraestructura de carga no tan desarrollada. </w:t>
      </w:r>
    </w:p>
    <w:p w14:paraId="615B85CE" w14:textId="77777777" w:rsidR="00015A81" w:rsidRPr="00EF0658" w:rsidRDefault="00015A81" w:rsidP="00015A81">
      <w:pPr>
        <w:tabs>
          <w:tab w:val="left" w:pos="6360"/>
        </w:tabs>
        <w:rPr>
          <w:b/>
          <w:bCs/>
        </w:rPr>
      </w:pPr>
      <w:r w:rsidRPr="00EF0658">
        <w:rPr>
          <w:b/>
          <w:bCs/>
        </w:rPr>
        <w:t>5. Algoritmo de Aprendizaje Automático: Diseño del Clasificador</w:t>
      </w:r>
    </w:p>
    <w:p w14:paraId="0F292A46" w14:textId="77777777" w:rsidR="00015A81" w:rsidRPr="00EF0658" w:rsidRDefault="00015A81" w:rsidP="00015A81">
      <w:pPr>
        <w:tabs>
          <w:tab w:val="left" w:pos="6360"/>
        </w:tabs>
      </w:pPr>
      <w:r w:rsidRPr="00EF0658">
        <w:t xml:space="preserve">El objetivo técnico es diseñar un </w:t>
      </w:r>
      <w:r w:rsidRPr="00EF0658">
        <w:rPr>
          <w:b/>
          <w:bCs/>
        </w:rPr>
        <w:t>Clasificador Supervisado</w:t>
      </w:r>
      <w:r w:rsidRPr="00EF0658">
        <w:t xml:space="preserve"> que determine si un vehículo nuevo ingresado al mercado pertenecerá a la categoría </w:t>
      </w:r>
      <w:r w:rsidRPr="00EF0658">
        <w:rPr>
          <w:b/>
          <w:bCs/>
        </w:rPr>
        <w:t>BEV</w:t>
      </w:r>
      <w:r w:rsidRPr="00EF0658">
        <w:t xml:space="preserve"> o </w:t>
      </w:r>
      <w:proofErr w:type="gramStart"/>
      <w:r w:rsidRPr="00EF0658">
        <w:rPr>
          <w:b/>
          <w:bCs/>
        </w:rPr>
        <w:t>PHEV</w:t>
      </w:r>
      <w:r w:rsidRPr="00EF0658">
        <w:t xml:space="preserve"> ,</w:t>
      </w:r>
      <w:proofErr w:type="gramEnd"/>
      <w:r w:rsidRPr="00EF0658">
        <w:t xml:space="preserve"> o bien si será elegible para los incentivos </w:t>
      </w:r>
      <w:r w:rsidRPr="00EF0658">
        <w:rPr>
          <w:b/>
          <w:bCs/>
        </w:rPr>
        <w:t>CAFV</w:t>
      </w:r>
      <w:r w:rsidRPr="00EF0658">
        <w:t xml:space="preserve">. Esto permitirá a los fabricantes predecir el éxito regulatorio de sus futuros lanzamientos. </w:t>
      </w:r>
    </w:p>
    <w:p w14:paraId="299EA15A" w14:textId="77777777" w:rsidR="00015A81" w:rsidRPr="00EF0658" w:rsidRDefault="00015A81" w:rsidP="00015A81">
      <w:pPr>
        <w:tabs>
          <w:tab w:val="left" w:pos="6360"/>
        </w:tabs>
        <w:rPr>
          <w:b/>
          <w:bCs/>
        </w:rPr>
      </w:pPr>
      <w:r w:rsidRPr="00EF0658">
        <w:rPr>
          <w:b/>
          <w:bCs/>
        </w:rPr>
        <w:lastRenderedPageBreak/>
        <w:t>Explicación del Algoritmo Elegido</w:t>
      </w:r>
    </w:p>
    <w:p w14:paraId="45A0B6FD" w14:textId="77777777" w:rsidR="00015A81" w:rsidRPr="00EF0658" w:rsidRDefault="00015A81" w:rsidP="00015A81">
      <w:pPr>
        <w:numPr>
          <w:ilvl w:val="0"/>
          <w:numId w:val="6"/>
        </w:numPr>
        <w:tabs>
          <w:tab w:val="left" w:pos="6360"/>
        </w:tabs>
      </w:pPr>
      <w:r w:rsidRPr="00EF0658">
        <w:rPr>
          <w:b/>
          <w:bCs/>
        </w:rPr>
        <w:t xml:space="preserve">Random Forest </w:t>
      </w:r>
      <w:proofErr w:type="spellStart"/>
      <w:r w:rsidRPr="00EF0658">
        <w:rPr>
          <w:b/>
          <w:bCs/>
        </w:rPr>
        <w:t>Classifier</w:t>
      </w:r>
      <w:proofErr w:type="spellEnd"/>
      <w:r w:rsidRPr="00EF0658">
        <w:rPr>
          <w:b/>
          <w:bCs/>
        </w:rPr>
        <w:t>:</w:t>
      </w:r>
      <w:r w:rsidRPr="00EF0658">
        <w:t xml:space="preserve"> Se selecciona este algoritmo debido a que maneja de manera nativa la mezcla de variables categóricas de alta cardinalidad (como </w:t>
      </w:r>
      <w:proofErr w:type="spellStart"/>
      <w:r w:rsidRPr="00EF0658">
        <w:t>Make</w:t>
      </w:r>
      <w:proofErr w:type="spellEnd"/>
      <w:r w:rsidRPr="00EF0658">
        <w:t xml:space="preserve"> y County) y variables numéricas (como Electric Range). Además, es altamente resistente al sobreajuste (</w:t>
      </w:r>
      <w:proofErr w:type="spellStart"/>
      <w:r w:rsidRPr="00EF0658">
        <w:rPr>
          <w:i/>
          <w:iCs/>
        </w:rPr>
        <w:t>overfitting</w:t>
      </w:r>
      <w:proofErr w:type="spellEnd"/>
      <w:r w:rsidRPr="00EF0658">
        <w:t xml:space="preserve">) en </w:t>
      </w:r>
      <w:proofErr w:type="spellStart"/>
      <w:r w:rsidRPr="00EF0658">
        <w:t>datasets</w:t>
      </w:r>
      <w:proofErr w:type="spellEnd"/>
      <w:r w:rsidRPr="00EF0658">
        <w:t xml:space="preserve"> masivos con ruido y es capaz de mapear relaciones no lineales (por ejemplo, cómo el cruce entre un determinado fabricante y un año de modelo específico influyen en que el carro sea BEV o PHEV). </w:t>
      </w:r>
    </w:p>
    <w:p w14:paraId="4198D1B7" w14:textId="77777777" w:rsidR="00015A81" w:rsidRPr="00EF0658" w:rsidRDefault="00015A81" w:rsidP="00015A81">
      <w:pPr>
        <w:tabs>
          <w:tab w:val="left" w:pos="6360"/>
        </w:tabs>
        <w:rPr>
          <w:b/>
          <w:bCs/>
        </w:rPr>
      </w:pPr>
      <w:r w:rsidRPr="00EF0658">
        <w:rPr>
          <w:b/>
          <w:bCs/>
        </w:rPr>
        <w:t>6. Recomendaciones Estratégicas Basadas en Predicciones</w:t>
      </w:r>
    </w:p>
    <w:p w14:paraId="1EB2301A" w14:textId="77777777" w:rsidR="00015A81" w:rsidRPr="00EF0658" w:rsidRDefault="00015A81" w:rsidP="00015A81">
      <w:pPr>
        <w:tabs>
          <w:tab w:val="left" w:pos="6360"/>
        </w:tabs>
      </w:pPr>
      <w:r w:rsidRPr="00EF0658">
        <w:t>A partir de las tendencias observadas y las capacidades del modelo predictivo, se sugieren las siguientes estrategias para empresas que deseen ingresar o expandirse en este mercado:</w:t>
      </w:r>
    </w:p>
    <w:p w14:paraId="34EC0806" w14:textId="77777777" w:rsidR="00015A81" w:rsidRPr="00EF0658" w:rsidRDefault="00015A81" w:rsidP="00015A81">
      <w:pPr>
        <w:numPr>
          <w:ilvl w:val="0"/>
          <w:numId w:val="7"/>
        </w:numPr>
        <w:tabs>
          <w:tab w:val="left" w:pos="6360"/>
        </w:tabs>
      </w:pPr>
      <w:r w:rsidRPr="00EF0658">
        <w:rPr>
          <w:b/>
          <w:bCs/>
        </w:rPr>
        <w:t>Estrategia para Fabricantes Nuevos (Nuevos Entrantes):</w:t>
      </w:r>
      <w:r w:rsidRPr="00EF0658">
        <w:t xml:space="preserve"> Los datos reflejan que los incentivos estatales (CAFV) castigan fuertemente a los vehículos con rangos de batería muy bajos. Si una empresa planea ingresar al mercado, sus modelos conceptuales deben orientarse al desarrollo de </w:t>
      </w:r>
      <w:proofErr w:type="spellStart"/>
      <w:r w:rsidRPr="00EF0658">
        <w:rPr>
          <w:b/>
          <w:bCs/>
        </w:rPr>
        <w:t>BEVs</w:t>
      </w:r>
      <w:proofErr w:type="spellEnd"/>
      <w:r w:rsidRPr="00EF0658">
        <w:rPr>
          <w:b/>
          <w:bCs/>
        </w:rPr>
        <w:t xml:space="preserve"> con autonomías proyectadas superiores a las 250 millas</w:t>
      </w:r>
      <w:r w:rsidRPr="00EF0658">
        <w:t xml:space="preserve"> para asegurar que el clasificador regulatorio los catalogue como "Elegibles", maximizando el atractivo comercial mediante subsidios automáticos al consumidor. </w:t>
      </w:r>
    </w:p>
    <w:p w14:paraId="5DFC98F5" w14:textId="77777777" w:rsidR="00015A81" w:rsidRPr="00EF0658" w:rsidRDefault="00015A81" w:rsidP="00015A81">
      <w:pPr>
        <w:numPr>
          <w:ilvl w:val="0"/>
          <w:numId w:val="7"/>
        </w:numPr>
        <w:tabs>
          <w:tab w:val="left" w:pos="6360"/>
        </w:tabs>
      </w:pPr>
      <w:r w:rsidRPr="00EF0658">
        <w:rPr>
          <w:b/>
          <w:bCs/>
        </w:rPr>
        <w:t>Estrategia de Expansión Geográfica:</w:t>
      </w:r>
      <w:r w:rsidRPr="00EF0658">
        <w:t xml:space="preserve"> El análisis regional demuestra una altísima concentración de vehículos eléctricos en núcleos urbanos densos asociados a redes eléctricas consolidadas (ej. </w:t>
      </w:r>
      <w:r w:rsidRPr="00EF0658">
        <w:rPr>
          <w:i/>
          <w:iCs/>
        </w:rPr>
        <w:t xml:space="preserve">City </w:t>
      </w:r>
      <w:proofErr w:type="spellStart"/>
      <w:r w:rsidRPr="00EF0658">
        <w:rPr>
          <w:i/>
          <w:iCs/>
        </w:rPr>
        <w:t>of</w:t>
      </w:r>
      <w:proofErr w:type="spellEnd"/>
      <w:r w:rsidRPr="00EF0658">
        <w:rPr>
          <w:i/>
          <w:iCs/>
        </w:rPr>
        <w:t xml:space="preserve"> Seattle</w:t>
      </w:r>
      <w:r w:rsidRPr="00EF0658">
        <w:t xml:space="preserve">, </w:t>
      </w:r>
      <w:r w:rsidRPr="00EF0658">
        <w:rPr>
          <w:i/>
          <w:iCs/>
        </w:rPr>
        <w:t xml:space="preserve">Puget </w:t>
      </w:r>
      <w:proofErr w:type="spellStart"/>
      <w:r w:rsidRPr="00EF0658">
        <w:rPr>
          <w:i/>
          <w:iCs/>
        </w:rPr>
        <w:t>Sound</w:t>
      </w:r>
      <w:proofErr w:type="spellEnd"/>
      <w:r w:rsidRPr="00EF0658">
        <w:rPr>
          <w:i/>
          <w:iCs/>
        </w:rPr>
        <w:t xml:space="preserve"> Energy </w:t>
      </w:r>
      <w:proofErr w:type="spellStart"/>
      <w:r w:rsidRPr="00EF0658">
        <w:rPr>
          <w:i/>
          <w:iCs/>
        </w:rPr>
        <w:t>Inc</w:t>
      </w:r>
      <w:proofErr w:type="spellEnd"/>
      <w:r w:rsidRPr="00EF0658">
        <w:t xml:space="preserve">). Las empresas de infraestructura de carga o concesionarios en expansión deben enfocar sus inversiones físicas en condados periféricos </w:t>
      </w:r>
      <w:proofErr w:type="gramStart"/>
      <w:r w:rsidRPr="00EF0658">
        <w:t>estables</w:t>
      </w:r>
      <w:proofErr w:type="gramEnd"/>
      <w:r w:rsidRPr="00EF0658">
        <w:t xml:space="preserve"> pero en crecimiento constante (como Snohomish, </w:t>
      </w:r>
      <w:proofErr w:type="spellStart"/>
      <w:r w:rsidRPr="00EF0658">
        <w:t>Kitsap</w:t>
      </w:r>
      <w:proofErr w:type="spellEnd"/>
      <w:r w:rsidRPr="00EF0658">
        <w:t xml:space="preserve"> o Thurston</w:t>
      </w:r>
      <w:proofErr w:type="gramStart"/>
      <w:r w:rsidRPr="00EF0658">
        <w:t>) ,</w:t>
      </w:r>
      <w:proofErr w:type="gramEnd"/>
      <w:r w:rsidRPr="00EF0658">
        <w:t xml:space="preserve"> donde los modelos predictivos apuntan a una rápida adopción masiva de </w:t>
      </w:r>
      <w:proofErr w:type="spellStart"/>
      <w:r w:rsidRPr="00EF0658">
        <w:t>SUVs</w:t>
      </w:r>
      <w:proofErr w:type="spellEnd"/>
      <w:r w:rsidRPr="00EF0658">
        <w:t xml:space="preserve"> y vehículos familiares eléctricos (como el Tesla Model Y o Kia EV9). </w:t>
      </w:r>
    </w:p>
    <w:p w14:paraId="3E84D37C" w14:textId="77777777" w:rsidR="00015A81" w:rsidRPr="00EF0658" w:rsidRDefault="00015A81" w:rsidP="00015A81">
      <w:pPr>
        <w:numPr>
          <w:ilvl w:val="0"/>
          <w:numId w:val="7"/>
        </w:numPr>
        <w:tabs>
          <w:tab w:val="left" w:pos="6360"/>
        </w:tabs>
      </w:pPr>
      <w:r w:rsidRPr="00EF0658">
        <w:rPr>
          <w:b/>
          <w:bCs/>
        </w:rPr>
        <w:t>Optimización de Portafolio:</w:t>
      </w:r>
      <w:r w:rsidRPr="00EF0658">
        <w:t xml:space="preserve"> Para competir con el monopolio de mercado que ostenta Tesla en ciertas </w:t>
      </w:r>
      <w:proofErr w:type="gramStart"/>
      <w:r w:rsidRPr="00EF0658">
        <w:t>áreas ,</w:t>
      </w:r>
      <w:proofErr w:type="gramEnd"/>
      <w:r w:rsidRPr="00EF0658">
        <w:t xml:space="preserve"> las marcas tradicionales deben enfocarse en el segmento de precios medios con vehículos híbridos enchufables (PHEV) de rango extendido o </w:t>
      </w:r>
      <w:proofErr w:type="spellStart"/>
      <w:r w:rsidRPr="00EF0658">
        <w:t>BEVs</w:t>
      </w:r>
      <w:proofErr w:type="spellEnd"/>
      <w:r w:rsidRPr="00EF0658">
        <w:t xml:space="preserve"> económicos, cubriendo la demanda de los consumidores que no están dispuestos a pagar tarifas premium pero que exigen utilidades de transporte diario eficientes. </w:t>
      </w:r>
    </w:p>
    <w:p w14:paraId="033A9B1A" w14:textId="77777777" w:rsidR="00015A81" w:rsidRDefault="00015A81" w:rsidP="00015A81">
      <w:pPr>
        <w:tabs>
          <w:tab w:val="left" w:pos="6360"/>
        </w:tabs>
      </w:pPr>
    </w:p>
    <w:sectPr w:rsidR="00015A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47096"/>
    <w:multiLevelType w:val="multilevel"/>
    <w:tmpl w:val="04AC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00CE3"/>
    <w:multiLevelType w:val="multilevel"/>
    <w:tmpl w:val="42369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633079"/>
    <w:multiLevelType w:val="multilevel"/>
    <w:tmpl w:val="BAB40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77311E"/>
    <w:multiLevelType w:val="multilevel"/>
    <w:tmpl w:val="15D4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514D43"/>
    <w:multiLevelType w:val="multilevel"/>
    <w:tmpl w:val="71B6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0035AE"/>
    <w:multiLevelType w:val="multilevel"/>
    <w:tmpl w:val="38FC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1F07C1"/>
    <w:multiLevelType w:val="multilevel"/>
    <w:tmpl w:val="5F7A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480547">
    <w:abstractNumId w:val="2"/>
  </w:num>
  <w:num w:numId="2" w16cid:durableId="1943301737">
    <w:abstractNumId w:val="4"/>
  </w:num>
  <w:num w:numId="3" w16cid:durableId="1178353501">
    <w:abstractNumId w:val="5"/>
  </w:num>
  <w:num w:numId="4" w16cid:durableId="476845734">
    <w:abstractNumId w:val="0"/>
  </w:num>
  <w:num w:numId="5" w16cid:durableId="1761289003">
    <w:abstractNumId w:val="1"/>
  </w:num>
  <w:num w:numId="6" w16cid:durableId="1608583945">
    <w:abstractNumId w:val="3"/>
  </w:num>
  <w:num w:numId="7" w16cid:durableId="18569664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A81"/>
    <w:rsid w:val="00015A81"/>
    <w:rsid w:val="00311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30AFA"/>
  <w15:chartTrackingRefBased/>
  <w15:docId w15:val="{352E5036-4FC6-4A42-B1B6-BFCF27CCD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A81"/>
  </w:style>
  <w:style w:type="paragraph" w:styleId="Ttulo1">
    <w:name w:val="heading 1"/>
    <w:basedOn w:val="Normal"/>
    <w:next w:val="Normal"/>
    <w:link w:val="Ttulo1Car"/>
    <w:uiPriority w:val="9"/>
    <w:qFormat/>
    <w:rsid w:val="00015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5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5A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5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5A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5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5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5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5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5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5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5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5A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5A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5A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5A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5A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5A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5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5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5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5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5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5A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5A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5A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5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5A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5A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999</Words>
  <Characters>5497</Characters>
  <Application>Microsoft Office Word</Application>
  <DocSecurity>0</DocSecurity>
  <Lines>45</Lines>
  <Paragraphs>12</Paragraphs>
  <ScaleCrop>false</ScaleCrop>
  <Company/>
  <LinksUpToDate>false</LinksUpToDate>
  <CharactersWithSpaces>6484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Hilda Soledad Lopez Rosas</dc:creator>
  <cp:keywords/>
  <dc:description/>
  <cp:lastModifiedBy>Hilda Soledad Lopez Rosas</cp:lastModifiedBy>
  <cp:revision>1</cp:revision>
  <dcterms:created xsi:type="dcterms:W3CDTF">2026-06-07T23:27:00Z</dcterms:created>
  <dcterms:modified xsi:type="dcterms:W3CDTF">2026-06-07T23:30:00Z</dcterms:modified>
</cp:coreProperties>
</file>