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Adversarial Robustness of AI-Based RF Signal Classification Under Channel Impairments</w:t>
      </w:r>
    </w:p>
    <w:p>
      <w:pPr>
        <w:spacing w:after="100"/>
        <w:jc w:val="center"/>
      </w:pPr>
      <w:r>
        <w:rPr>
          <w:i/>
          <w:iCs/>
          <w:sz w:val="22"/>
          <w:szCs w:val="22"/>
        </w:rPr>
        <w:t xml:space="preserve">Extended Abstract for CDR 2026 EW Special Issue</w:t>
      </w:r>
    </w:p>
    <w:p>
      <w:pPr>
        <w:spacing w:after="300"/>
        <w:jc w:val="center"/>
      </w:pPr>
      <w:r>
        <w:rPr>
          <w:i/>
          <w:iCs/>
          <w:sz w:val="20"/>
          <w:szCs w:val="20"/>
        </w:rPr>
        <w:t xml:space="preserve">[Author information removed for double-blind review]</w:t>
      </w:r>
    </w:p>
    <w:p>
      <w:pPr>
        <w:pStyle w:val="Heading2"/>
      </w:pPr>
      <w:r>
        <w:t xml:space="preserve">1. Introduction and Motivation</w:t>
      </w:r>
    </w:p>
    <w:p>
      <w:pPr>
        <w:spacing w:after="120"/>
      </w:pPr>
      <w:r>
        <w:t xml:space="preserve">The integration of deep learning into radio frequency (RF) signal classification represents a transformative capability for electronic warfare (EW) and cognitive spectrum operations. Neural network classifiers can automatically identify modulation schemes from raw in-phase/quadrature (I/Q) baseband samples, enabling real-time spectrum awareness critical to modern EW missions (O’Shea, Corgan, and Clancy 2016). However, the well-documented vulnerability of neural networks to adversarial perturbations raises serious concerns for deployment in contested electromagnetic environments where adversaries may deliberately craft signals to evade classification (Goodfellow, Shlens, and Szegedy 2015).</w:t>
      </w:r>
    </w:p>
    <w:p>
      <w:pPr>
        <w:spacing w:after="120"/>
      </w:pPr>
      <w:r>
        <w:t xml:space="preserve">Unlike adversarial attacks in computer vision, RF adversarial perturbations must survive transmission through physical wireless channels characterized by additive white Gaussian noise (AWGN), multipath fading, and carrier frequency offsets (CFO). This paper systematically evaluates whether standard adversarial attacks remain effective after channel propagation and assesses practical defense strategies under operationally relevant conditions.</w:t>
      </w:r>
    </w:p>
    <w:p>
      <w:pPr>
        <w:pStyle w:val="Heading2"/>
      </w:pPr>
      <w:r>
        <w:t xml:space="preserve">2. Technical Approach</w:t>
      </w:r>
    </w:p>
    <w:p>
      <w:pPr>
        <w:spacing w:after="120"/>
      </w:pPr>
      <w:r>
        <w:t xml:space="preserve">We develop a complete experimental pipeline for evaluating adversarial robustness of RF classifiers under realistic channel conditions. Our approach encompasses three components:</w:t>
      </w:r>
    </w:p>
    <w:p>
      <w:pPr>
        <w:spacing w:after="80"/>
      </w:pPr>
      <w:r>
        <w:rPr>
          <w:b/>
          <w:bCs/>
        </w:rPr>
        <w:t xml:space="preserve">Threat Model. </w:t>
      </w:r>
      <w:r>
        <w:t xml:space="preserve">We adopt a pre-channel adversarial model where perturbations are injected before the signal traverses the wireless channel, reflecting an adversary who can manipulate signals at or near the transmitter. Perturbations are constrained by a power-ratio bound ‖δ‖₂/‖x‖₂ ≤ ρ, with ρ evaluated at 0.5%, 1%, 2%, and 5% of signal power. This constraint is grounded in RF physics: perturbations exceeding these levels would be detectable by spectrum monitoring systems. We evaluate two standard attacks: FGSM (Goodfellow, Shlens, and Szegedy 2015) and PGD with 10 iterations (Madry et al. 2018).</w:t>
      </w:r>
    </w:p>
    <w:p>
      <w:pPr>
        <w:spacing w:after="80"/>
      </w:pPr>
      <w:r>
        <w:rPr>
          <w:b/>
          <w:bCs/>
        </w:rPr>
        <w:t xml:space="preserve">Channel Modeling. </w:t>
      </w:r>
      <w:r>
        <w:t xml:space="preserve">Signals pass through three progressively degraded channel configurations: (1) AWGN only, (2) Rayleigh fading with AWGN, and (3) Rayleigh fading with CFO and AWGN. Each channel realization is stochastic, and all results are averaged over 10 independent trials with 95% confidence intervals reported via the t-distribution.</w:t>
      </w:r>
    </w:p>
    <w:p>
      <w:pPr>
        <w:spacing w:after="120"/>
      </w:pPr>
      <w:r>
        <w:rPr>
          <w:b/>
          <w:bCs/>
        </w:rPr>
        <w:t xml:space="preserve">Defense Strategies. </w:t>
      </w:r>
      <w:r>
        <w:t xml:space="preserve">We implement and compare four defense approaches: (1) channel augmentation training, which exposes the model to diverse channel realizations during training; (2) adversarial training using PGD-generated examples; (3) noise injection via randomized smoothing with Monte Carlo averaging; and (4) a combined adversarial-plus-channel augmentation strategy.</w:t>
      </w:r>
    </w:p>
    <w:p>
      <w:pPr>
        <w:pStyle w:val="Heading2"/>
      </w:pPr>
      <w:r>
        <w:t xml:space="preserve">3. Preliminary Results</w:t>
      </w:r>
    </w:p>
    <w:p>
      <w:pPr>
        <w:spacing w:after="120"/>
      </w:pPr>
      <w:r>
        <w:rPr>
          <w:b/>
          <w:bCs/>
        </w:rPr>
        <w:t xml:space="preserve">Dataset and Baseline. </w:t>
      </w:r>
      <w:r>
        <w:t xml:space="preserve">Experiments use the RadioML 2016.10a dataset (O’Shea, Corgan, and Clancy 2016) comprising 220,000 I/Q samples across 11 modulation schemes. Our four-block 1D CNN (126,475 parameters) achieves 70.9% validation accuracy after 60 epochs of training, consistent with published benchmarks for this dataset.</w:t>
      </w:r>
    </w:p>
    <w:p>
      <w:pPr>
        <w:spacing w:after="120"/>
      </w:pPr>
      <w:r>
        <w:rPr>
          <w:b/>
          <w:bCs/>
        </w:rPr>
        <w:t xml:space="preserve">Adversarial Vulnerability. </w:t>
      </w:r>
      <w:r>
        <w:t xml:space="preserve">At SNR = 10 dB with AWGN channel and ρ = 1% power ratio, PGD attacks achieve an 8.2% attack success rate (ASR), reducing accuracy from 70.2% to 67.6%. FGSM achieves a comparable 7.7% ASR under identical conditions. The modest ASR at moderate perturbation budgets indicates that channel noise provides partial natural robustness. However, vulnerability scales with perturbation budget: at ρ = 5%, PGD ASR rises to 24.3% at SNR = 10 dB. At low SNR (0 dB), baseline ASR reaches 28.2% even at ρ = 1%, as the classifier’s lower clean accuracy (38.9%) makes it more susceptible to misclassification.</w:t>
      </w:r>
    </w:p>
    <w:p>
      <w:pPr>
        <w:spacing w:after="120"/>
      </w:pPr>
      <w:r>
        <w:rPr>
          <w:b/>
          <w:bCs/>
        </w:rPr>
        <w:t xml:space="preserve">Per-Modulation Vulnerability. </w:t>
      </w:r>
      <w:r>
        <w:t xml:space="preserve">Our per-class analysis reveals dramatic variation in adversarial susceptibility across modulation schemes. At SNR = 0 dB, PAM4 is nearly immune to attack (0.8% ASR, 96.4% clean accuracy), while BPSK (93.2% ASR) and QAM64 (86.8% ASR) are highly vulnerable. At SNR = 10 dB, CPFSK achieves perfect robustness (100% clean and robust accuracy, 0% ASR), while QAM16 exhibits anomalous behavior (3.1% ASR but only 4.0% clean accuracy), suggesting inherent classification difficulty at that SNR. Digital modulations with well-separated constellation points (PAM4, CPFSK) show the greatest resilience.</w:t>
      </w:r>
    </w:p>
    <w:p>
      <w:pPr>
        <w:spacing w:after="120"/>
      </w:pPr>
      <w:r>
        <w:rPr>
          <w:b/>
          <w:bCs/>
        </w:rPr>
        <w:t xml:space="preserve">Defense Comparison. </w:t>
      </w:r>
      <w:r>
        <w:t xml:space="preserve">At SNR = 0 dB, the combined adversarial-plus-channel defense achieves the best robustness (56.3% robust accuracy vs. 37.0% baseline, a 52.2% relative improvement) with the lowest ASR of 22.2%. Noise injection provides the single-best ASR reduction (16.4%), but its clean accuracy degrades substantially at higher SNR (49.4% vs. 70.2% baseline at 10 dB). Channel augmentation offers the most favorable efficiency tradeoff: 55.1% robust accuracy at 0 dB with only 318 seconds of training time, compared to 1,157 seconds for the combined defense. At SNR = 10 dB, the combined defense achieves 67.2% robust accuracy with 7.7% ASR, while the baseline achieves 67.5% robust accuracy with 8.4% ASR—showing that at higher SNR, attacks are already largely attenuated by channel effects.</w:t>
      </w:r>
    </w:p>
    <w:p>
      <w:pPr>
        <w:pStyle w:val="Heading2"/>
      </w:pPr>
      <w:r>
        <w:t xml:space="preserve">4. Significance for Cyber Defense and EW</w:t>
      </w:r>
    </w:p>
    <w:p>
      <w:pPr>
        <w:spacing w:after="120"/>
      </w:pPr>
      <w:r>
        <w:t xml:space="preserve">This work provides three contributions to the cyber defense community. First, we demonstrate that RF channel impairments provide substantial but incomplete natural robustness against adversarial attacks—an important distinction from the computer vision domain where no analogous physical defense exists. Second, our per-modulation vulnerability analysis identifies which modulation schemes require prioritized protection, enabling threat-informed defense allocation. Third, our defense comparison reveals an operational tradeoff between robustness gain and computational cost that maps to different EW deployment tiers: lightweight channel augmentation for tactical edge systems, adversarial training for platform-level processors, and combined defenses for enterprise systems with greater compute budgets.</w:t>
      </w:r>
    </w:p>
    <w:p>
      <w:pPr>
        <w:pStyle w:val="Heading2"/>
      </w:pPr>
      <w:r>
        <w:t xml:space="preserve">References</w:t>
      </w:r>
    </w:p>
    <w:p>
      <w:pPr>
        <w:spacing w:after="80"/>
        <w:ind w:left="720" w:hanging="720"/>
      </w:pPr>
      <w:r>
        <w:rPr>
          <w:sz w:val="20"/>
          <w:szCs w:val="20"/>
        </w:rPr>
        <w:t xml:space="preserve">Flowers, Brendan, R. Michael Buehrer, and William C. Headley. 2019. “Evaluating Adversarial Evasion Attacks in the Context of Wireless Communications.” IEEE Transactions on Information Forensics and Security 15: 1102–1113. https://doi.org/10.1109/TIFS.2019.2934069.</w:t>
      </w:r>
    </w:p>
    <w:p>
      <w:pPr>
        <w:spacing w:after="80"/>
        <w:ind w:left="720" w:hanging="720"/>
      </w:pPr>
      <w:r>
        <w:rPr>
          <w:sz w:val="20"/>
          <w:szCs w:val="20"/>
        </w:rPr>
        <w:t xml:space="preserve">Goodfellow, Ian J., Jonathon Shlens, and Christian Szegedy. 2015. “Explaining and Harnessing Adversarial Examples.” In Proceedings of the 3rd International Conference on Learning Representations (ICLR 2015). San Diego, CA.</w:t>
      </w:r>
    </w:p>
    <w:p>
      <w:pPr>
        <w:spacing w:after="80"/>
        <w:ind w:left="720" w:hanging="720"/>
      </w:pPr>
      <w:r>
        <w:rPr>
          <w:sz w:val="20"/>
          <w:szCs w:val="20"/>
        </w:rPr>
        <w:t xml:space="preserve">Kim, Brian, Yalin E. Sagduyu, Kemal Davaslioglu, Tugba Erpek, and Sennur Ulukus. 2021. “Channel-Aware Adversarial Attacks Against Deep Learning-Based Wireless Signal Classifiers.” IEEE Transactions on Wireless Communications 21 (6): 3868–3880. https://doi.org/10.1109/TWC.2021.3124855.</w:t>
      </w:r>
    </w:p>
    <w:p>
      <w:pPr>
        <w:spacing w:after="80"/>
        <w:ind w:left="720" w:hanging="720"/>
      </w:pPr>
      <w:r>
        <w:rPr>
          <w:sz w:val="20"/>
          <w:szCs w:val="20"/>
        </w:rPr>
        <w:t xml:space="preserve">Lin, Yun, Haijun Zhao, Xuefei Ma, Yonghua Tu, and Meiyu Wang. 2020. “Adversarial Attacks in Modulation Recognition with Convolutional Neural Networks.” IEEE Transactions on Reliability 70 (1): 389–401. https://doi.org/10.1109/TR.2020.3032744.</w:t>
      </w:r>
    </w:p>
    <w:p>
      <w:pPr>
        <w:spacing w:after="80"/>
        <w:ind w:left="720" w:hanging="720"/>
      </w:pPr>
      <w:r>
        <w:rPr>
          <w:sz w:val="20"/>
          <w:szCs w:val="20"/>
        </w:rPr>
        <w:t xml:space="preserve">Madry, Aleksander, Aleksandar Makelov, Ludwig Schmidt, Dimitris Tsipras, and Adrian Vladu. 2018. “Towards Deep Learning Models Resistant to Adversarial Attacks.” In Proceedings of the 6th International Conference on Learning Representations (ICLR 2018). Vancouver, BC.</w:t>
      </w:r>
    </w:p>
    <w:p>
      <w:pPr>
        <w:spacing w:after="80"/>
        <w:ind w:left="720" w:hanging="720"/>
      </w:pPr>
      <w:r>
        <w:rPr>
          <w:sz w:val="20"/>
          <w:szCs w:val="20"/>
        </w:rPr>
        <w:t xml:space="preserve">O’Shea, Timothy J., Johnathan Corgan, and T. Charles Clancy. 2016. “Convolutional Radio Modulation Recognition Networks.” In Proceedings of the 7th GNU Radio Conference. Boulder, CO. https://doi.org/10.1007/978-3-319-44188-7_16.</w:t>
      </w:r>
    </w:p>
    <w:p>
      <w:pPr>
        <w:spacing w:after="80"/>
        <w:ind w:left="720" w:hanging="720"/>
      </w:pPr>
      <w:r>
        <w:rPr>
          <w:sz w:val="20"/>
          <w:szCs w:val="20"/>
        </w:rPr>
        <w:t xml:space="preserve">O’Shea, Timothy J., Tamoghna Roy, and T. Charles Clancy. 2018. “Over-the-Air Deep Learning Based Radio Signal Classification.” IEEE Journal of Selected Topics in Signal Processing 12 (1): 168–179. https://doi.org/10.1109/JSTSP.2018.2797022.</w:t>
      </w:r>
    </w:p>
    <w:p>
      <w:pPr>
        <w:spacing w:after="80"/>
        <w:ind w:left="720" w:hanging="720"/>
      </w:pPr>
      <w:r>
        <w:rPr>
          <w:sz w:val="20"/>
          <w:szCs w:val="20"/>
        </w:rPr>
        <w:t xml:space="preserve">Restuccia, Francesco, Salvatore D’Oro, Amani Al-Shawabka, Bruno Ribeiro, and Tommaso Melodia. 2020. “Generalized Wireless Adversarial Deep Learning.” In Proceedings of the 3rd ACM Workshop on Wireless Security and Machine Learning (WiseML 2020). https://doi.org/10.1145/3395352.3402622.</w:t>
      </w:r>
    </w:p>
    <w:p>
      <w:pPr>
        <w:spacing w:after="80"/>
        <w:ind w:left="720" w:hanging="720"/>
      </w:pPr>
      <w:r>
        <w:rPr>
          <w:sz w:val="20"/>
          <w:szCs w:val="20"/>
        </w:rPr>
        <w:t xml:space="preserve">Sadeghi, Meysam, and Erik G. Larsson. 2019. “Adversarial Attacks on Deep-Learning Based Radio Signal Classification.” IEEE Wireless Communications Letters 8 (1): 213–216. https://doi.org/10.1109/LWC.2018.2867459.</w:t>
      </w:r>
    </w:p>
    <w:p>
      <w:pPr>
        <w:spacing w:after="80"/>
        <w:ind w:left="720" w:hanging="720"/>
      </w:pPr>
      <w:r>
        <w:rPr>
          <w:sz w:val="20"/>
          <w:szCs w:val="20"/>
        </w:rPr>
        <w:t xml:space="preserve">Sahay, Rajeev, Christopher G. Brinton, and David J. Love. 2021. “Frequency-Based Automated Modulation Classification in the Presence of Adversaries.” In Proceedings of the IEEE International Conference on Communications (ICC 2021). https://doi.org/10.1109/ICC42927.2021.9500468.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2026-02-23T13:50:43.744Z</dcterms:created>
  <dcterms:modified xsi:type="dcterms:W3CDTF">2026-02-23T13:50:43.744Z</dcterms:modified>
</cp:coreProperties>
</file>

<file path=docProps/custom.xml><?xml version="1.0" encoding="utf-8"?>
<Properties xmlns="http://schemas.openxmlformats.org/officeDocument/2006/custom-properties" xmlns:vt="http://schemas.openxmlformats.org/officeDocument/2006/docPropsVTypes"/>
</file>