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726F0" w14:textId="77777777" w:rsidR="00DC44BD" w:rsidRDefault="00000000">
      <w:pPr>
        <w:spacing w:after="120"/>
      </w:pPr>
      <w:r>
        <w:rPr>
          <w:rFonts w:ascii="Calibri" w:hAnsi="Calibri"/>
          <w:sz w:val="22"/>
        </w:rPr>
        <w:t>RESEARCH ARTICLE</w:t>
      </w:r>
    </w:p>
    <w:p w14:paraId="595D88C6" w14:textId="77777777" w:rsidR="00DC44BD" w:rsidRDefault="00DC44BD"/>
    <w:p w14:paraId="7454E79F" w14:textId="77777777" w:rsidR="00DC44BD" w:rsidRDefault="00000000">
      <w:pPr>
        <w:spacing w:after="240"/>
      </w:pPr>
      <w:r>
        <w:rPr>
          <w:rFonts w:ascii="Open Sans Condensed SemiBold" w:hAnsi="Open Sans Condensed SemiBold"/>
          <w:b/>
          <w:sz w:val="52"/>
        </w:rPr>
        <w:t>Adversarial Robustness of AI-Based RF Signal Classification Under Channel Impairments</w:t>
      </w:r>
    </w:p>
    <w:p w14:paraId="7846BAD7" w14:textId="77777777" w:rsidR="00DC44BD" w:rsidRDefault="00DC44BD">
      <w:pPr>
        <w:pBdr>
          <w:bottom w:val="thinThickSmallGap" w:sz="24" w:space="1" w:color="7F7F7F"/>
        </w:pBdr>
      </w:pPr>
    </w:p>
    <w:p w14:paraId="4C7AC284" w14:textId="77777777" w:rsidR="00DC44BD" w:rsidRDefault="00DC44BD"/>
    <w:p w14:paraId="1C8517E6" w14:textId="77777777" w:rsidR="00DC44BD" w:rsidRDefault="00000000">
      <w:r>
        <w:rPr>
          <w:rFonts w:ascii="Open Sans Condensed Light" w:hAnsi="Open Sans Condensed Light"/>
          <w:sz w:val="28"/>
        </w:rPr>
        <w:t>Anonymous Author(s)</w:t>
      </w:r>
    </w:p>
    <w:p w14:paraId="38F29325" w14:textId="77777777" w:rsidR="00DC44BD" w:rsidRDefault="00DC44BD"/>
    <w:p w14:paraId="4D03BBF2" w14:textId="77777777" w:rsidR="00DC44BD" w:rsidRDefault="00DC44BD"/>
    <w:p w14:paraId="234E1406" w14:textId="77777777" w:rsidR="00DC44BD" w:rsidRDefault="00000000">
      <w:pPr>
        <w:spacing w:after="240"/>
      </w:pPr>
      <w:r>
        <w:rPr>
          <w:i/>
        </w:rPr>
        <w:t>We present a systematic evaluation of adversarial robustness for deep learning-based RF modulation classifiers under realistic channel impairments, spanning RadioML 2016.10a (11 modulations) and 2018.01a (24 modulations). Using physically grounded L2 norm-ratio perturbation constraints (‖δ‖₂ / ‖x‖₂ ≤ ρ) and an evaluation methodology that correctly accounts for native dataset SNR, we find that: (1) adversarial attacks at operationally relevant power levels (ρ = 1%, −40 dB power ratio) achieve attack success rates of 7–9% on the 11-class task and 31–35% on the 24-class task, substantially lower than prior reports using different constraint formulations; (2) channel impairments, particularly Rayleigh fading, cause far more classifier degradation than adversarial perturbations, reducing accuracy by 38–64 percentage points versus 7–28 points from PGD attacks; (3) channel augmentation training is the most efficient defense, achieving the largest ASR reduction per training hour on both datasets; and (4) adversarial vulnerability scales significantly with task complexity, with extreme per-class variation from below 1% to above 99% ASR. These findings reframe adversarial robustness for cognitive electronic warfare systems as an interaction effect with channel conditions rather than a standalone threat.</w:t>
      </w:r>
    </w:p>
    <w:p w14:paraId="0562ED3F" w14:textId="77777777" w:rsidR="00DC44BD" w:rsidRDefault="00DC44BD"/>
    <w:p w14:paraId="3F342CCE" w14:textId="77777777" w:rsidR="00DC44BD" w:rsidRDefault="00000000">
      <w:pPr>
        <w:spacing w:after="360"/>
      </w:pPr>
      <w:r>
        <w:rPr>
          <w:b/>
        </w:rPr>
        <w:t>Keywords</w:t>
      </w:r>
      <w:r>
        <w:t>: adversarial machine learning, RF signal classification, electronic warfare, channel impairments, deep learning robustness</w:t>
      </w:r>
    </w:p>
    <w:p w14:paraId="4FA7A70A" w14:textId="77777777" w:rsidR="00DC44BD" w:rsidRDefault="00DC44BD"/>
    <w:p w14:paraId="6DBFFA0E" w14:textId="77777777" w:rsidR="00DC44BD" w:rsidRDefault="00DC44BD"/>
    <w:p w14:paraId="78E8D99A" w14:textId="77777777" w:rsidR="00DC44BD" w:rsidRDefault="00DC44BD"/>
    <w:p w14:paraId="17F0E627" w14:textId="77777777" w:rsidR="00DC44BD" w:rsidRDefault="00DC44BD"/>
    <w:p w14:paraId="0FBA2DBA" w14:textId="77777777" w:rsidR="00DC44BD" w:rsidRDefault="00DC44BD"/>
    <w:p w14:paraId="7478FDF3" w14:textId="77777777" w:rsidR="00DC44BD" w:rsidRDefault="00DC44BD"/>
    <w:p w14:paraId="60B35B1F" w14:textId="77777777" w:rsidR="00DC44BD" w:rsidRDefault="00DC44BD"/>
    <w:p w14:paraId="5BBB9A3D" w14:textId="77777777" w:rsidR="00DC44BD" w:rsidRDefault="00DC44BD"/>
    <w:p w14:paraId="4718F82B" w14:textId="77777777" w:rsidR="00DC44BD" w:rsidRDefault="00DC44BD"/>
    <w:p w14:paraId="23F55394" w14:textId="77777777" w:rsidR="00DC44BD" w:rsidRDefault="00DC44BD"/>
    <w:p w14:paraId="159412F6" w14:textId="77777777" w:rsidR="00DC44BD" w:rsidRDefault="00DC44BD"/>
    <w:p w14:paraId="6CA811B3" w14:textId="77777777" w:rsidR="00DC44BD" w:rsidRDefault="00DC44BD"/>
    <w:p w14:paraId="06BBF1EC" w14:textId="77777777" w:rsidR="00DC44BD" w:rsidRDefault="00000000">
      <w:r>
        <w:rPr>
          <w:b/>
          <w:i/>
          <w:sz w:val="16"/>
        </w:rPr>
        <w:t xml:space="preserve">Disclaimer: </w:t>
      </w:r>
      <w:r>
        <w:rPr>
          <w:i/>
          <w:sz w:val="16"/>
        </w:rPr>
        <w:t>The views expressed in this work are those of the author(s) and do not reflect the official policy or position of their employer(s), the U.S. Military Academy, the Department of War, the U.S. Government, or any subdivisions thereof. © 2026 The Author(s) unless otherwise stated. As an open access journal, The Cyber Defense Review publishes articles under Creative Commons licenses, and authors retain copyright where applicable.</w:t>
      </w:r>
    </w:p>
    <w:p w14:paraId="733CA1CE" w14:textId="77777777" w:rsidR="00DC44BD" w:rsidRDefault="00000000">
      <w:pPr>
        <w:pStyle w:val="CDRHeading1"/>
      </w:pPr>
      <w:r>
        <w:t>1  INTRODUCTION</w:t>
      </w:r>
    </w:p>
    <w:p w14:paraId="78184914" w14:textId="77777777" w:rsidR="00DC44BD" w:rsidRDefault="00000000">
      <w:pPr>
        <w:pStyle w:val="CDRParagraph"/>
      </w:pPr>
      <w:r>
        <w:t>Artificial intelligence (AI) and deep learning have rapidly become essential enablers of machine-speed spectrum awareness in contested electromagnetic environments. Modern radio frequency (RF) classifiers, trained on in-phase and quadrature (I/Q) baseband samples, can identify modulation schemes, detect emitters, and support adaptive spectrum management at speeds far exceeding human operators. These capabilities underpin cognitive electronic warfare (EW), where the ability to classify, characterize, and respond to adversary waveforms in real time is a prerequisite for spectrum dominance in multi-domain operations.</w:t>
      </w:r>
    </w:p>
    <w:p w14:paraId="56B87E06" w14:textId="77777777" w:rsidR="00DC44BD" w:rsidRDefault="00000000">
      <w:pPr>
        <w:pStyle w:val="CDRParagraph"/>
      </w:pPr>
      <w:r>
        <w:t>However, the robustness of these AI-driven classifiers under adversarial conditions remains poorly understood. The broader machine learning community has demonstrated that deep neural networks are susceptible to adversarial perturbations: small, carefully crafted modifications to inputs that cause misclassification with high confidence. While this vulnerability has been extensively studied in computer vision and natural language processing, its implications for physical-layer RF signal classification in contested spectrum environments have received comparatively limited attention. Prior RF adversarial studies have reported dramatic accuracy drops using norm-based perturbation constraints borrowed from computer vision, but whether these findings hold under physically grounded L2 norm-ratio constraints (‖δ‖₂ / ‖x‖₂ ≤ ρ, where ρ is a norm ratio and power ratio = ρ²) and correct SNR evaluation methodology is an open question.</w:t>
      </w:r>
    </w:p>
    <w:p w14:paraId="7EC78C76" w14:textId="77777777" w:rsidR="00DC44BD" w:rsidRDefault="00000000">
      <w:pPr>
        <w:pStyle w:val="CDRParagraph"/>
      </w:pPr>
      <w:r>
        <w:t>The gap is particularly consequential in electronic warfare contexts. A misclassified waveform can trigger incorrect countermeasures, degrade situational awareness, or enable adversary deception. Unlike image classification, where adversarial perturbations must survive printing and recapture, RF adversarial perturbations face a different set of physical constraints: they must contend with channel impairments including additive white Gaussian noise (AWGN), multipath fading, carrier frequency offset (CFO), and timing offsets. Whether these channel effects attenuate adversarial perturbations, compound with them, or fundamentally alter the threat landscape is critical for assessing the real-world robustness of deployed RF classifiers. Yet no prior work has systematically disentangled the contributions of channel impairments and adversarial manipulation to classifier degradation.</w:t>
      </w:r>
    </w:p>
    <w:p w14:paraId="4864745E" w14:textId="77777777" w:rsidR="00DC44BD" w:rsidRDefault="00000000">
      <w:pPr>
        <w:pStyle w:val="CDRParagraph"/>
      </w:pPr>
      <w:r>
        <w:t xml:space="preserve">This paper addresses this gap through a systematic experimental evaluation of adversarial robustness for deep learning-based RF modulation classifiers under realistic channel </w:t>
      </w:r>
      <w:r>
        <w:lastRenderedPageBreak/>
        <w:t>impairments, spanning two benchmark datasets of increasing complexity: RadioML 2016.10a (11 modulations, 128-sample windows) and RadioML 2018.01a (24 modulations, 1024-sample windows). We make the following contributions:</w:t>
      </w:r>
    </w:p>
    <w:p w14:paraId="50D10A65" w14:textId="77777777" w:rsidR="00DC44BD" w:rsidRDefault="00000000">
      <w:pPr>
        <w:spacing w:after="80"/>
        <w:ind w:left="360"/>
      </w:pPr>
      <w:r>
        <w:t xml:space="preserve">(1) </w:t>
      </w:r>
      <w:r>
        <w:rPr>
          <w:b/>
        </w:rPr>
        <w:t>Physically plausible threat model.</w:t>
      </w:r>
      <w:r>
        <w:t xml:space="preserve"> We define an adversarial threat model for complex baseband I/Q classifiers that uses L2 norm-ratio perturbation constraints (‖δ‖₂ / ‖x‖₂ ≤ ρ) grounded in RF physics, rather than norm-based bounds borrowed from computer vision. We assume white-box attacks with no channel state information (no-CSI), representing the strongest attacker without access to unknown propagation effects. We show that this constraint formulation produces markedly different, and more operationally realistic, results than the norm-based evaluations in prior RF adversarial studies.</w:t>
      </w:r>
    </w:p>
    <w:p w14:paraId="7E88B322" w14:textId="77777777" w:rsidR="00DC44BD" w:rsidRDefault="00000000">
      <w:pPr>
        <w:spacing w:after="80"/>
        <w:ind w:left="360"/>
      </w:pPr>
      <w:r>
        <w:t xml:space="preserve">(2) </w:t>
      </w:r>
      <w:r>
        <w:rPr>
          <w:b/>
        </w:rPr>
        <w:t>Channel-aware robustness evaluation across two datasets.</w:t>
      </w:r>
      <w:r>
        <w:t xml:space="preserve"> We quantify adversarial attack effectiveness across signal-to-noise ratio (SNR) under three channel conditions (AWGN, Rayleigh fading with AWGN, and Rayleigh fading with CFO and AWGN) on both RadioML 2016.10a and 2018.01a, capturing a range of contested spectrum scenarios and task complexities. A central finding is that channel impairments cause substantially more classifier degradation than adversarial perturbations at operationally relevant power levels, and that adversarial vulnerability scales significantly with the number of modulation classes and input dimensionality.</w:t>
      </w:r>
    </w:p>
    <w:p w14:paraId="5D4D1583" w14:textId="77777777" w:rsidR="00DC44BD" w:rsidRDefault="00000000">
      <w:pPr>
        <w:spacing w:after="80"/>
        <w:ind w:left="360"/>
      </w:pPr>
      <w:r>
        <w:t xml:space="preserve">(3) </w:t>
      </w:r>
      <w:r>
        <w:rPr>
          <w:b/>
        </w:rPr>
        <w:t>Evaluation methodology correction.</w:t>
      </w:r>
      <w:r>
        <w:t xml:space="preserve"> We identify and correct a potential evaluation artifact in RF adversarial robustness research using pre-collected benchmark datasets: the double application of AWGN to samples that already contain noise at their labeled SNR. This methodological correction substantially changes the quantitative picture of adversarial vulnerability.</w:t>
      </w:r>
    </w:p>
    <w:p w14:paraId="713F2DA9" w14:textId="77777777" w:rsidR="00DC44BD" w:rsidRDefault="00000000">
      <w:pPr>
        <w:spacing w:after="80"/>
        <w:ind w:left="360"/>
      </w:pPr>
      <w:r>
        <w:t xml:space="preserve">(4) </w:t>
      </w:r>
      <w:r>
        <w:rPr>
          <w:b/>
        </w:rPr>
        <w:t>Defense comparison with operational tradeoffs.</w:t>
      </w:r>
      <w:r>
        <w:t xml:space="preserve"> We evaluate four lightweight defense strategies (channel augmentation training, adversarial training, noise injection, and a combined approach) and report not only robustness gains but also computational overhead (training time, inference latency, parameter count), which is critical for edge-deployed EW systems operating under size, weight, and power constraints.</w:t>
      </w:r>
    </w:p>
    <w:p w14:paraId="1FC79BE4" w14:textId="77777777" w:rsidR="00DC44BD" w:rsidRDefault="00000000">
      <w:pPr>
        <w:spacing w:after="80"/>
        <w:ind w:left="360"/>
      </w:pPr>
      <w:r>
        <w:t xml:space="preserve">(5) </w:t>
      </w:r>
      <w:r>
        <w:rPr>
          <w:b/>
        </w:rPr>
        <w:t>Task complexity scaling.</w:t>
      </w:r>
      <w:r>
        <w:t xml:space="preserve"> By evaluating on both RadioML 2016.10a (11 classes) and 2018.01a (24 classes), we demonstrate that adversarial vulnerability scales substantially with task complexity: attack success rates increase from 7–9% to 31–35% under identical perturbation constraints, with extreme per-class variation (from below 1% for simple modulations to above 99% for 256-QAM).</w:t>
      </w:r>
    </w:p>
    <w:p w14:paraId="47B43818" w14:textId="77777777" w:rsidR="00DC44BD" w:rsidRDefault="00000000">
      <w:pPr>
        <w:spacing w:after="80"/>
        <w:ind w:left="360"/>
      </w:pPr>
      <w:r>
        <w:t xml:space="preserve">(6) </w:t>
      </w:r>
      <w:r>
        <w:rPr>
          <w:b/>
        </w:rPr>
        <w:t>Operational implications.</w:t>
      </w:r>
      <w:r>
        <w:t xml:space="preserve"> We frame our findings in the context of machine-speed spectrum awareness and cognitive EW, arguing that channel hardening may be more operationally important than adversarial hardening for systems deployed in contested propagation environments, and that adversarial risk assessment must account for the complexity of the classification task.</w:t>
      </w:r>
    </w:p>
    <w:p w14:paraId="67D8C862" w14:textId="77777777" w:rsidR="00DC44BD" w:rsidRDefault="00000000">
      <w:pPr>
        <w:pStyle w:val="CDRParagraph"/>
      </w:pPr>
      <w:r>
        <w:t xml:space="preserve">The remainder of this paper is organized as follows. Section 2 reviews related work. Section 3 defines the problem formulation and threat model. Section 4 describes the experimental </w:t>
      </w:r>
      <w:r>
        <w:lastRenderedPageBreak/>
        <w:t>methodology. Section 5 presents results. Section 6 discusses operational implications and limitations. Section 7 concludes.</w:t>
      </w:r>
    </w:p>
    <w:p w14:paraId="028C4560" w14:textId="77777777" w:rsidR="00DC44BD" w:rsidRDefault="00000000">
      <w:pPr>
        <w:pStyle w:val="CDRHeading1"/>
      </w:pPr>
      <w:r>
        <w:t>2  RELATED WORK</w:t>
      </w:r>
    </w:p>
    <w:p w14:paraId="5A4E2B52" w14:textId="77777777" w:rsidR="00DC44BD" w:rsidRDefault="00000000">
      <w:pPr>
        <w:pStyle w:val="CDRHeading2"/>
      </w:pPr>
      <w:r>
        <w:t>2.1  Deep Learning for RF Modulation Classification</w:t>
      </w:r>
    </w:p>
    <w:p w14:paraId="03E0D285" w14:textId="77777777" w:rsidR="00DC44BD" w:rsidRDefault="00000000">
      <w:pPr>
        <w:pStyle w:val="CDRParagraph"/>
      </w:pPr>
      <w:r>
        <w:t>The application of deep learning to automatic modulation classification (AMC) was catalyzed by O’Shea et al. (2016), who demonstrated that convolutional neural networks (CNNs) operating directly on raw I/Q samples could achieve competitive recognition rates without hand-crafted features. Their introduction of the RadioML 2016.10a dataset established a common benchmark. Since then, CLDNN models (Rajendran et al. 2018) combine convolutional feature extraction with LSTM temporal modeling, while systematic architecture searches (Liu, Yang, and El Gamal 2017) have evaluated CNN, ResNet, and DenseNet variants for modulation classification. Deep residual networks applied to RadioML 2018.01a (O’Shea, Roy, and Clancy 2018) achieve high accuracy at high SNR but, like all deep architectures, rely on learned representations whose adversarial robustness has not been systematically characterized.</w:t>
      </w:r>
    </w:p>
    <w:p w14:paraId="62F8E7BF" w14:textId="77777777" w:rsidR="00DC44BD" w:rsidRDefault="00000000">
      <w:pPr>
        <w:pStyle w:val="CDRParagraph"/>
      </w:pPr>
      <w:r>
        <w:t>A key observation across this body of work is that classification accuracy degrades substantially at low SNR, and that performance is sensitive to the channel conditions under which models are trained and evaluated (West and O’Shea 2017). Models trained on clean or AWGN-only data often generalize poorly to fading environments, motivating channel-aware training strategies.</w:t>
      </w:r>
    </w:p>
    <w:p w14:paraId="01DF6368" w14:textId="77777777" w:rsidR="00DC44BD" w:rsidRDefault="00000000">
      <w:pPr>
        <w:pStyle w:val="CDRHeading2"/>
      </w:pPr>
      <w:r>
        <w:t>2.2  Adversarial Machine Learning</w:t>
      </w:r>
    </w:p>
    <w:p w14:paraId="71F53829" w14:textId="77777777" w:rsidR="00DC44BD" w:rsidRDefault="00000000">
      <w:pPr>
        <w:pStyle w:val="CDRParagraph"/>
      </w:pPr>
      <w:r>
        <w:t>Adversarial vulnerability in deep neural networks was formalized by Goodfellow, Shlens, and Szegedy (2015), who introduced the Fast Gradient Sign Method (FGSM) and showed that linear properties of high-dimensional classifiers make them susceptible to small, carefully crafted perturbations. Madry et al. (2018) strengthened this work by framing adversarial robustness as a min-max optimization problem and introducing Projected Gradient Descent (PGD) as a strong first-order attack. Carlini and Wagner (2017) further demonstrated that optimization-based attacks can defeat many proposed defenses.</w:t>
      </w:r>
    </w:p>
    <w:p w14:paraId="6778839E" w14:textId="77777777" w:rsidR="00DC44BD" w:rsidRDefault="00000000">
      <w:pPr>
        <w:pStyle w:val="CDRParagraph"/>
      </w:pPr>
      <w:r>
        <w:t>On the defense side, Cohen, Rosenfeld, and Kolter (2019) introduced randomized smoothing for certified L2 robustness guarantees. Extensions to other norm balls (Salman et al. 2019) and practical adversarial training variants that reduce computational cost (Shafahi et al. 2019) have broadened the defense toolkit.</w:t>
      </w:r>
    </w:p>
    <w:p w14:paraId="155E256F" w14:textId="77777777" w:rsidR="00DC44BD" w:rsidRDefault="00000000">
      <w:pPr>
        <w:pStyle w:val="CDRHeading2"/>
      </w:pPr>
      <w:r>
        <w:t>2.3  Adversarial Attacks on RF Classifiers</w:t>
      </w:r>
    </w:p>
    <w:p w14:paraId="57CECF6A" w14:textId="77777777" w:rsidR="00DC44BD" w:rsidRDefault="00000000">
      <w:pPr>
        <w:pStyle w:val="CDRParagraph"/>
      </w:pPr>
      <w:r>
        <w:t xml:space="preserve">Several groups have applied adversarial attack techniques specifically to RF signal classifiers. Flowers, Buehrer, and Headley (2019) demonstrated that FGSM, PGD, and momentum-based iterative attacks can substantially degrade modulation classification accuracy under L-inf perturbation constraints. However, those results used norm-based </w:t>
      </w:r>
      <w:r>
        <w:lastRenderedPageBreak/>
        <w:t>perturbation bounds (L-inf) at perturbation magnitudes that correspond to substantially higher perturbation-to-signal ratios than the norm-ratio constraints (‖δ‖₂ / ‖x‖₂ ≤ ρ) grounded in RF physics that we employ; the constraint type difference means reported attack success rates are not directly comparable across studies. Targeted attacks (Sadeghi and Larsson 2018) have shown that adversarial perturbations transfer across architectures with non-trivial success rates, indicating that the vulnerability is not architecture-specific.</w:t>
      </w:r>
    </w:p>
    <w:p w14:paraId="33F80946" w14:textId="77777777" w:rsidR="00DC44BD" w:rsidRDefault="00000000">
      <w:pPr>
        <w:pStyle w:val="CDRParagraph"/>
      </w:pPr>
      <w:r>
        <w:t>More recent work has explored physically motivated attack variants. Adversarial perturbation design for evading modulation detection (Hameed, Gyorgy, and Gunduz 2021) operates under communication-theoretic constraints, while frequency-selective attacks (Ke, Wang, and Huang 2024) target spectral-domain vulnerabilities. Studies on GaN power amplifier identification (Restuccia et al. 2019) have demonstrated that RF fingerprinting systems are similarly vulnerable. Systematic evaluations of adversarial attack effectiveness across white-box and black-box settings (Lin et al. 2020) confirm that iterative attacks outperform single-step methods in most RF scenarios. A critical finding is that adversarial perturbations generated in the digital domain often degrade when transmitted over the air (Bahramali et al. 2021), motivating channel-aware attack design.</w:t>
      </w:r>
    </w:p>
    <w:p w14:paraId="4D888E42" w14:textId="77777777" w:rsidR="00DC44BD" w:rsidRDefault="00000000">
      <w:pPr>
        <w:pStyle w:val="CDRHeading2"/>
      </w:pPr>
      <w:r>
        <w:t>2.4  Channel Effects and Adversarial Robustness</w:t>
      </w:r>
    </w:p>
    <w:p w14:paraId="0AC64CED" w14:textId="77777777" w:rsidR="00DC44BD" w:rsidRDefault="00000000">
      <w:pPr>
        <w:pStyle w:val="CDRParagraph"/>
      </w:pPr>
      <w:r>
        <w:t>The interaction between wireless channel impairments and adversarial robustness remains poorly understood. RF transceivers contend with AWGN, multipath fading, CFO, phase noise, and timing offsets (Rappaport 2002). Channel-aware adversarial attacks (Kim et al. 2022) that account for expected channel response have been proposed, while over-the-air adversarial attack frameworks (Sagduyu et al. 2019) demonstrate that physically realizable attacks require fundamentally different design considerations. Training with simulated channel and hardware impairment augmentation (Perenda et al. 2024) has been shown to improve both clean accuracy under impairments and adversarial robustness, and recent channel-aware perturbation assessments (Lu et al. 2025) further confirm that channel effects complicate adversarial threat models. However, no prior work has systematically evaluated adversarial robustness across a controlled matrix of channel conditions, perturbation budgets, and defense strategies while reporting computational tradeoffs for edge-deployed systems.</w:t>
      </w:r>
    </w:p>
    <w:p w14:paraId="7481D67E" w14:textId="77777777" w:rsidR="00DC44BD" w:rsidRDefault="00000000">
      <w:pPr>
        <w:pStyle w:val="CDRHeading2"/>
      </w:pPr>
      <w:r>
        <w:t>2.5  Electronic Warfare and Cognitive Spectrum Operations</w:t>
      </w:r>
    </w:p>
    <w:p w14:paraId="340E9B08" w14:textId="77777777" w:rsidR="00DC44BD" w:rsidRDefault="00000000">
      <w:pPr>
        <w:pStyle w:val="CDRParagraph"/>
      </w:pPr>
      <w:r>
        <w:t>AI-enabled spectrum operations are a strategic priority for military organizations. Cognitive electronic warfare (CEW) leverages machine learning to achieve machine-speed spectrum awareness, adaptive jamming, and rapid signal identification (Haigh and Andrusenko 2021). The U.S. Department of Defense has invested in AI/ML-driven spectrum management through programs including DARPA’s RF Machine Learning Systems initiative (DARPA 2018). In this context, adversarial vulnerability of RF classifiers represents a direct operational risk, yet the EW community has largely treated adversarial robustness as a peripheral concern rather than a first-order design constraint.</w:t>
      </w:r>
    </w:p>
    <w:p w14:paraId="2F5E541B" w14:textId="77777777" w:rsidR="00DC44BD" w:rsidRDefault="00000000">
      <w:pPr>
        <w:pStyle w:val="CDRHeading2"/>
      </w:pPr>
      <w:r>
        <w:lastRenderedPageBreak/>
        <w:t>2.6  Positioning of This Work</w:t>
      </w:r>
    </w:p>
    <w:p w14:paraId="50CD4D40" w14:textId="77777777" w:rsidR="00DC44BD" w:rsidRDefault="00000000">
      <w:pPr>
        <w:pStyle w:val="CDRParagraph"/>
      </w:pPr>
      <w:r>
        <w:t>Our work addresses the gap at the intersection of adversarial machine learning and RF signal classification under realistic channel conditions. Unlike prior RF adversarial studies that evaluate attacks in isolation (Flowers, Buehrer, and Headley 2019; Sadeghi and Larsson 2018) or under single channel conditions, we systematically vary both channel impairments and perturbation budgets across an SNR sweep on two benchmark datasets of increasing complexity, disentangling the contributions of adversarial manipulation and channel degradation. We ground our threat model in RF physics using L2 norm-ratio constraints and evaluate under propagation conditions relevant to contested spectrum operations. We provide quantitative experimental evidence showing that channel impairments, rather than adversarial perturbations, are the dominant source of classifier degradation at operationally relevant power levels, that adversarial vulnerability scales significantly with the number of modulation classes (from 7–9% ASR on 11 classes to 31–35% on 24 classes), and we offer actionable defense comparisons with computational overhead analysis suitable for edge deployment.</w:t>
      </w:r>
    </w:p>
    <w:p w14:paraId="6F1967FD" w14:textId="77777777" w:rsidR="00DC44BD" w:rsidRDefault="00000000">
      <w:pPr>
        <w:pStyle w:val="CDRHeading1"/>
      </w:pPr>
      <w:r>
        <w:t>3  PROBLEM FORMULATION AND THREAT MODEL</w:t>
      </w:r>
    </w:p>
    <w:p w14:paraId="3CB749A6" w14:textId="77777777" w:rsidR="00DC44BD" w:rsidRDefault="00000000">
      <w:pPr>
        <w:pStyle w:val="CDRHeading2"/>
      </w:pPr>
      <w:r>
        <w:t>3.1  Modulation Classification Task</w:t>
      </w:r>
    </w:p>
    <w:p w14:paraId="5E913EFE" w14:textId="77777777" w:rsidR="00DC44BD" w:rsidRDefault="00000000">
      <w:pPr>
        <w:pStyle w:val="CDRParagraph"/>
      </w:pPr>
      <w:r>
        <w:t>We consider the supervised classification of RF modulation schemes from complex baseband I/Q samples. Let x ∈ ℝ²ˣᴺ denote a windowed observation of N time-domain samples, where the two channels represent the in-phase (I) and quadrature (Q) components. A deep neural network classifier fθ maps each observation to a predicted modulation class:</w:t>
      </w:r>
    </w:p>
    <w:p w14:paraId="052A8060" w14:textId="77777777" w:rsidR="00DC44BD" w:rsidRDefault="00000000">
      <w:pPr>
        <w:spacing w:before="120" w:after="120"/>
        <w:ind w:left="720"/>
      </w:pPr>
      <w:r>
        <w:rPr>
          <w:i/>
        </w:rPr>
        <w:t>fθ(x) → y,  y ∈ {1, ..., K}</w:t>
      </w:r>
      <w:r>
        <w:t xml:space="preserve">    (1)</w:t>
      </w:r>
    </w:p>
    <w:p w14:paraId="4A8B9E25" w14:textId="77777777" w:rsidR="00DC44BD" w:rsidRDefault="00000000">
      <w:pPr>
        <w:pStyle w:val="CDRParagraph"/>
      </w:pPr>
      <w:r>
        <w:t>where K is the number of modulation classes and θ denotes the learned parameters.</w:t>
      </w:r>
    </w:p>
    <w:p w14:paraId="693EBEEA" w14:textId="77777777" w:rsidR="00DC44BD" w:rsidRDefault="00000000">
      <w:pPr>
        <w:pStyle w:val="CDRHeading2"/>
      </w:pPr>
      <w:r>
        <w:t>3.2  Channel Model</w:t>
      </w:r>
    </w:p>
    <w:p w14:paraId="272F102B" w14:textId="77777777" w:rsidR="00DC44BD" w:rsidRDefault="00000000">
      <w:pPr>
        <w:pStyle w:val="CDRParagraph"/>
      </w:pPr>
      <w:r>
        <w:t>The received signal passes through a composite wireless channel h(·) before reaching the classifier. We model three impairment types:</w:t>
      </w:r>
    </w:p>
    <w:p w14:paraId="538C1072" w14:textId="77777777" w:rsidR="00DC44BD" w:rsidRDefault="00000000">
      <w:pPr>
        <w:pStyle w:val="CDRParagraph"/>
      </w:pPr>
      <w:r>
        <w:rPr>
          <w:b/>
        </w:rPr>
        <w:t xml:space="preserve">AWGN. </w:t>
      </w:r>
      <w:r>
        <w:t>Additive white Gaussian noise: r = x + n, where n ~ N(0, σ²I).</w:t>
      </w:r>
    </w:p>
    <w:p w14:paraId="3F5FC28D" w14:textId="77777777" w:rsidR="00DC44BD" w:rsidRDefault="00000000">
      <w:pPr>
        <w:pStyle w:val="CDRParagraph"/>
      </w:pPr>
      <w:r>
        <w:rPr>
          <w:b/>
        </w:rPr>
        <w:t xml:space="preserve">Rayleigh Fading. </w:t>
      </w:r>
      <w:r>
        <w:t>Flat (block) Rayleigh fading: r = h · x, where h ~ CN(0, 1).</w:t>
      </w:r>
    </w:p>
    <w:p w14:paraId="57B76C98" w14:textId="77777777" w:rsidR="00DC44BD" w:rsidRDefault="00000000">
      <w:pPr>
        <w:pStyle w:val="CDRParagraph"/>
      </w:pPr>
      <w:r>
        <w:rPr>
          <w:b/>
        </w:rPr>
        <w:t xml:space="preserve">Carrier Frequency Offset (CFO). </w:t>
      </w:r>
      <w:r>
        <w:t>Phase rotation: r[n] = x[n] · exp(j·2π·Δf·n), where Δf ~ U[-Δf_max, Δf_max].</w:t>
      </w:r>
    </w:p>
    <w:p w14:paraId="32CDE719" w14:textId="77777777" w:rsidR="00DC44BD" w:rsidRDefault="00000000">
      <w:pPr>
        <w:pStyle w:val="CDRParagraph"/>
      </w:pPr>
      <w:r>
        <w:t>The full composite channel applies impairments in sequence: Rayleigh fading, then CFO, then AWGN, reflecting the physical signal path.</w:t>
      </w:r>
    </w:p>
    <w:p w14:paraId="202788CB" w14:textId="77777777" w:rsidR="00DC44BD" w:rsidRDefault="00000000">
      <w:pPr>
        <w:pStyle w:val="CDRHeading2"/>
      </w:pPr>
      <w:r>
        <w:t>3.3  Adversarial Threat Model</w:t>
      </w:r>
    </w:p>
    <w:p w14:paraId="27B79E00" w14:textId="77777777" w:rsidR="00DC44BD" w:rsidRDefault="00000000">
      <w:pPr>
        <w:pStyle w:val="CDRParagraph"/>
      </w:pPr>
      <w:r>
        <w:lastRenderedPageBreak/>
        <w:t>We consider an adversary who introduces a perturbation δ to the transmitted signal before it passes through the channel. The receiver observes:</w:t>
      </w:r>
    </w:p>
    <w:p w14:paraId="4A354010" w14:textId="77777777" w:rsidR="00DC44BD" w:rsidRDefault="00000000">
      <w:pPr>
        <w:spacing w:before="120" w:after="120"/>
        <w:ind w:left="720"/>
      </w:pPr>
      <w:r>
        <w:rPr>
          <w:i/>
        </w:rPr>
        <w:t>r = h(x + δ)</w:t>
      </w:r>
      <w:r>
        <w:t xml:space="preserve">    (5)</w:t>
      </w:r>
    </w:p>
    <w:p w14:paraId="77E78C63" w14:textId="77777777" w:rsidR="00DC44BD" w:rsidRDefault="00000000">
      <w:pPr>
        <w:pStyle w:val="CDRParagraph"/>
      </w:pPr>
      <w:r>
        <w:t>This “pre-channel” attack models an adversary who can manipulate the signal at or near the transmitter, or who injects a low-power interfering waveform into the spectrum.</w:t>
      </w:r>
    </w:p>
    <w:p w14:paraId="0901A55C" w14:textId="77777777" w:rsidR="00DC44BD" w:rsidRDefault="00000000">
      <w:pPr>
        <w:pStyle w:val="CDRParagraph"/>
      </w:pPr>
      <w:r>
        <w:rPr>
          <w:b/>
        </w:rPr>
        <w:t xml:space="preserve">Adversary Knowledge. </w:t>
      </w:r>
      <w:r>
        <w:t>We evaluate the white-box setting, where the adversary has full knowledge of the classifier architecture, weights, and channel model, but no channel state information (no-CSI).</w:t>
      </w:r>
    </w:p>
    <w:p w14:paraId="1F316369" w14:textId="77777777" w:rsidR="00DC44BD" w:rsidRDefault="00000000">
      <w:pPr>
        <w:pStyle w:val="CDRParagraph"/>
      </w:pPr>
      <w:r>
        <w:rPr>
          <w:b/>
        </w:rPr>
        <w:t xml:space="preserve">Perturbation Constraint. </w:t>
      </w:r>
      <w:r>
        <w:t>Rather than adopting L-inf or fixed-epsilon L2 norms from computer vision, we impose a physically meaningful power-ratio constraint:</w:t>
      </w:r>
    </w:p>
    <w:p w14:paraId="44BF7455" w14:textId="77777777" w:rsidR="00DC44BD" w:rsidRDefault="00000000">
      <w:pPr>
        <w:spacing w:before="120" w:after="120"/>
        <w:ind w:left="720"/>
      </w:pPr>
      <w:r>
        <w:rPr>
          <w:i/>
        </w:rPr>
        <w:t>‖δ‖₂ / ‖x‖₂ ≤ ρ</w:t>
      </w:r>
      <w:r>
        <w:t xml:space="preserve">    (6)</w:t>
      </w:r>
    </w:p>
    <w:p w14:paraId="7FDEBBC3" w14:textId="77777777" w:rsidR="00DC44BD" w:rsidRDefault="00000000">
      <w:pPr>
        <w:pStyle w:val="CDRParagraph"/>
      </w:pPr>
      <w:r>
        <w:t>where ρ represents the maximum ratio of perturbation L2 norm to signal L2 norm. We evaluate ρ ∈ {0.5%, 1%, 2%, 5%}, corresponding to perturbation-to-signal power ratios of -46 dB to -26 dB. This constraint scales with signal energy, maps directly to interference-to-signal ratio (ISR), and produces markedly different results than norm-based constraints in prior studies.</w:t>
      </w:r>
    </w:p>
    <w:p w14:paraId="1ED634B5" w14:textId="77777777" w:rsidR="00DC44BD" w:rsidRDefault="00000000">
      <w:pPr>
        <w:pStyle w:val="CDRHeading2"/>
      </w:pPr>
      <w:r>
        <w:t>3.4  Attack Algorithms</w:t>
      </w:r>
    </w:p>
    <w:p w14:paraId="1AB0C9D1" w14:textId="77777777" w:rsidR="00DC44BD" w:rsidRDefault="00000000">
      <w:pPr>
        <w:pStyle w:val="CDRParagraph"/>
      </w:pPr>
      <w:r>
        <w:rPr>
          <w:b/>
        </w:rPr>
        <w:t xml:space="preserve">FGSM (Fast Gradient Sign Method). </w:t>
      </w:r>
      <w:r>
        <w:t>A single-step attack: δ = ε · ∇xL / ‖∇xL‖₂, where ε = ρ · ‖x‖₂ and the gradient is L2-normalized.</w:t>
      </w:r>
    </w:p>
    <w:p w14:paraId="0B3B0409" w14:textId="77777777" w:rsidR="00DC44BD" w:rsidRDefault="00000000">
      <w:pPr>
        <w:pStyle w:val="CDRParagraph"/>
      </w:pPr>
      <w:r>
        <w:rPr>
          <w:b/>
        </w:rPr>
        <w:t xml:space="preserve">PGD (Projected Gradient Descent). </w:t>
      </w:r>
      <w:r>
        <w:t>A multi-step iterative attack with T = 10 steps, projecting onto the L2 ball of radius ρ · ‖x‖₂ after each step.</w:t>
      </w:r>
    </w:p>
    <w:p w14:paraId="72168E14" w14:textId="77777777" w:rsidR="00DC44BD" w:rsidRDefault="00000000">
      <w:pPr>
        <w:pStyle w:val="CDRHeading2"/>
      </w:pPr>
      <w:r>
        <w:t>3.5  Defense Strategies</w:t>
      </w:r>
    </w:p>
    <w:p w14:paraId="66559A09" w14:textId="77777777" w:rsidR="00DC44BD" w:rsidRDefault="00000000">
      <w:pPr>
        <w:pStyle w:val="CDRParagraph"/>
      </w:pPr>
      <w:r>
        <w:t>We evaluate three defense mechanisms chosen for computational feasibility in edge-deployed EW systems:</w:t>
      </w:r>
    </w:p>
    <w:p w14:paraId="7D034660" w14:textId="77777777" w:rsidR="00DC44BD" w:rsidRDefault="00000000">
      <w:pPr>
        <w:pStyle w:val="CDRParagraph"/>
      </w:pPr>
      <w:r>
        <w:rPr>
          <w:b/>
        </w:rPr>
        <w:t xml:space="preserve">Channel Augmentation Training. </w:t>
      </w:r>
      <w:r>
        <w:t>The model is trained with on-the-fly random channel impairments (Rayleigh fading and CFO). No additional AWGN is applied to avoid double-noising.</w:t>
      </w:r>
    </w:p>
    <w:p w14:paraId="01AFBB6D" w14:textId="77777777" w:rsidR="00DC44BD" w:rsidRDefault="00000000">
      <w:pPr>
        <w:pStyle w:val="CDRParagraph"/>
      </w:pPr>
      <w:r>
        <w:rPr>
          <w:b/>
        </w:rPr>
        <w:t xml:space="preserve">Adversarial Training (PGD-lite). </w:t>
      </w:r>
      <w:r>
        <w:t>Following Madry et al. (2018), training batches are augmented with adversarial examples from reduced-step PGD (5 steps). The loss combines clean and adversarial components with α = 0.5.</w:t>
      </w:r>
    </w:p>
    <w:p w14:paraId="4DB60350" w14:textId="77777777" w:rsidR="00DC44BD" w:rsidRDefault="00000000">
      <w:pPr>
        <w:pStyle w:val="CDRParagraph"/>
      </w:pPr>
      <w:r>
        <w:rPr>
          <w:b/>
        </w:rPr>
        <w:t xml:space="preserve">Noise Injection (Gaussian Data Augmentation). </w:t>
      </w:r>
      <w:r>
        <w:t>Gaussian noise is added to inputs during training. The model is evaluated normally at inference (single forward pass, no additional noise).</w:t>
      </w:r>
    </w:p>
    <w:p w14:paraId="5AA9EF2D" w14:textId="77777777" w:rsidR="00DC44BD" w:rsidRDefault="00000000">
      <w:pPr>
        <w:pStyle w:val="CDRHeading1"/>
      </w:pPr>
      <w:r>
        <w:lastRenderedPageBreak/>
        <w:t>4  EXPERIMENTAL SETUP</w:t>
      </w:r>
    </w:p>
    <w:p w14:paraId="44497D65" w14:textId="77777777" w:rsidR="00DC44BD" w:rsidRDefault="00000000">
      <w:pPr>
        <w:pStyle w:val="CDRHeading2"/>
      </w:pPr>
      <w:r>
        <w:t>4.1  Datasets</w:t>
      </w:r>
    </w:p>
    <w:p w14:paraId="525C62AF" w14:textId="77777777" w:rsidR="00DC44BD" w:rsidRDefault="00000000">
      <w:pPr>
        <w:pStyle w:val="CDRParagraph"/>
      </w:pPr>
      <w:r>
        <w:rPr>
          <w:b/>
        </w:rPr>
        <w:t xml:space="preserve">RadioML 2016.10a. </w:t>
      </w:r>
      <w:r>
        <w:t>220,000 I/Q sample windows across 11 modulation schemes (8PSK, AM-DSB, AM-SSB, BPSK, CPFSK, GFSK, PAM4, 16-QAM, 64-QAM, QPSK, WBFM). Each sample: (2, 128) tensor. SNR range: -20 to +18 dB in 2 dB increments. Filtered to [-10, 18] dB yielding 165,000 samples.</w:t>
      </w:r>
    </w:p>
    <w:p w14:paraId="3D42A8FE" w14:textId="77777777" w:rsidR="00DC44BD" w:rsidRDefault="00000000">
      <w:pPr>
        <w:pStyle w:val="CDRParagraph"/>
      </w:pPr>
      <w:r>
        <w:rPr>
          <w:b/>
        </w:rPr>
        <w:t xml:space="preserve">RadioML 2018.01a. </w:t>
      </w:r>
      <w:r>
        <w:t>Over 2.5 million I/Q sample windows across 24 modulation schemes (OOK, 4ASK, 8ASK, BPSK, QPSK, 8PSK, 16PSK, 32PSK, 16APSK, 32APSK, 64APSK, 128APSK, 16QAM, 32QAM, 64QAM, 128QAM, 256QAM, AM-SSB-WC, AM-SSB-SC, AM-DSB-WC, AM-DSB-SC, FM, GMSK, OQPSK). Each sample: (2, 1024) tensor. SNR range: -20 to +30 dB. This dataset presents a substantially harder classification task.</w:t>
      </w:r>
    </w:p>
    <w:p w14:paraId="4159F4CF" w14:textId="77777777" w:rsidR="00DC44BD" w:rsidRDefault="00000000">
      <w:pPr>
        <w:pStyle w:val="CDRParagraph"/>
      </w:pPr>
      <w:r>
        <w:t>Both datasets use a fixed 70/15/15 train/validation/test split with deterministic seeding (seed = 42).</w:t>
      </w:r>
    </w:p>
    <w:p w14:paraId="33118F8D" w14:textId="77777777" w:rsidR="00DC44BD" w:rsidRDefault="00000000">
      <w:pPr>
        <w:pStyle w:val="CDRHeading2"/>
      </w:pPr>
      <w:r>
        <w:t>4.2  Model Architecture</w:t>
      </w:r>
    </w:p>
    <w:p w14:paraId="43BCF2B5" w14:textId="77777777" w:rsidR="00DC44BD" w:rsidRDefault="00000000">
      <w:pPr>
        <w:pStyle w:val="CDRParagraph"/>
      </w:pPr>
      <w:r>
        <w:t>Our baseline classifier is a four-block 1D CNN operating on the I/Q input: Conv1d(2, 64, 7)→BN→ReLU→MaxPool(2), repeated with channels 64→128→128→64 and kernels 7→5→3→3, followed by AdaptiveAvgPool(1) and a two-layer classifier (64→128→K). The 2016 model contains 126,475 parameters (K=11); the 2018 model contains 128,152 (K=24). This architecture is inspired by VT-CNN2 with batch normalization and adaptive pooling.</w:t>
      </w:r>
    </w:p>
    <w:p w14:paraId="42B7E577" w14:textId="77777777" w:rsidR="00DC44BD" w:rsidRDefault="00DC44BD"/>
    <w:p w14:paraId="23EAECA9" w14:textId="77777777" w:rsidR="00DC44BD" w:rsidRDefault="00000000">
      <w:pPr>
        <w:jc w:val="center"/>
      </w:pPr>
      <w:r>
        <w:rPr>
          <w:noProof/>
        </w:rPr>
        <w:drawing>
          <wp:inline distT="0" distB="0" distL="0" distR="0" wp14:anchorId="20AA7372" wp14:editId="461BA2FF">
            <wp:extent cx="5486400" cy="2543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png"/>
                    <pic:cNvPicPr/>
                  </pic:nvPicPr>
                  <pic:blipFill>
                    <a:blip r:embed="rId11"/>
                    <a:stretch>
                      <a:fillRect/>
                    </a:stretch>
                  </pic:blipFill>
                  <pic:spPr>
                    <a:xfrm>
                      <a:off x="0" y="0"/>
                      <a:ext cx="5486400" cy="2543412"/>
                    </a:xfrm>
                    <a:prstGeom prst="rect">
                      <a:avLst/>
                    </a:prstGeom>
                  </pic:spPr>
                </pic:pic>
              </a:graphicData>
            </a:graphic>
          </wp:inline>
        </w:drawing>
      </w:r>
    </w:p>
    <w:p w14:paraId="0685CE7D" w14:textId="77777777" w:rsidR="00DC44BD" w:rsidRDefault="00000000">
      <w:pPr>
        <w:spacing w:after="240"/>
        <w:jc w:val="center"/>
      </w:pPr>
      <w:r>
        <w:rPr>
          <w:i/>
          <w:sz w:val="18"/>
        </w:rPr>
        <w:t>Figure 1: Baseline CNN architecture. Each convolutional block consists of Conv1d, BatchNorm1d, ReLU, and MaxPool1d(2). The classifier head uses adaptive average pooling followed by two fully connected layers.</w:t>
      </w:r>
    </w:p>
    <w:p w14:paraId="564F42A3" w14:textId="77777777" w:rsidR="00DC44BD" w:rsidRDefault="00000000">
      <w:pPr>
        <w:pStyle w:val="CDRHeading2"/>
      </w:pPr>
      <w:r>
        <w:t>4.3  Training Configuration</w:t>
      </w:r>
    </w:p>
    <w:p w14:paraId="39BC4E04" w14:textId="77777777" w:rsidR="00DC44BD" w:rsidRDefault="00000000">
      <w:pPr>
        <w:pStyle w:val="CDRParagraph"/>
      </w:pPr>
      <w:r>
        <w:lastRenderedPageBreak/>
        <w:t>All models use Adam optimizer (lr=0.001, weight decay 10⁻⁴), cosine annealing schedule over 60 epochs, batch size 256. For adversarial training: PGD with 5 inner steps, ρ = 0.01, α = 0.5 balancing clean and adversarial loss.</w:t>
      </w:r>
    </w:p>
    <w:p w14:paraId="0809D163" w14:textId="77777777" w:rsidR="00DC44BD" w:rsidRDefault="00000000">
      <w:pPr>
        <w:pStyle w:val="CDRHeading2"/>
      </w:pPr>
      <w:r>
        <w:t>4.4  Channel Configurations</w:t>
      </w:r>
    </w:p>
    <w:p w14:paraId="7BB285F3" w14:textId="77777777" w:rsidR="00DC44BD" w:rsidRDefault="00000000">
      <w:pPr>
        <w:pStyle w:val="CDRParagraph"/>
      </w:pPr>
      <w:r>
        <w:t>We evaluate under three channel conditions: (1) AWGN only, (2) Rayleigh fading + AWGN (fading coefficient h ~ CN(0,1)), and (3) Rayleigh fading + CFO + AWGN (CFO: Δf ~ U[-0.01, 0.01]). All channel layers are differentiable PyTorch modules.</w:t>
      </w:r>
    </w:p>
    <w:p w14:paraId="0AC9A3F5" w14:textId="77777777" w:rsidR="00DC44BD" w:rsidRDefault="00000000">
      <w:pPr>
        <w:pStyle w:val="CDRParagraph"/>
      </w:pPr>
      <w:r>
        <w:rPr>
          <w:b/>
        </w:rPr>
        <w:t xml:space="preserve">Evaluation methodology. </w:t>
      </w:r>
      <w:r>
        <w:t>RadioML samples already contain AWGN at their labeled SNR. Our evaluation filters test samples by native SNR labels rather than re-applying AWGN, avoiding the double-noising artifact. For fading/CFO conditions, only non-AWGN impairments are applied on top of native samples.</w:t>
      </w:r>
    </w:p>
    <w:p w14:paraId="74A39809" w14:textId="77777777" w:rsidR="00DC44BD" w:rsidRDefault="00000000">
      <w:pPr>
        <w:pStyle w:val="CDRParagraph"/>
      </w:pPr>
      <w:r>
        <w:rPr>
          <w:b/>
        </w:rPr>
        <w:t xml:space="preserve">Fading channel approximation. </w:t>
      </w:r>
      <w:r>
        <w:t>When Rayleigh fading is applied, it acts on the combined signal-plus-noise: h · (x_clean + n) rather than the physically correct (h · x_clean) + n. This makes our fading results optimistic for the classifier (see Section 6.2).</w:t>
      </w:r>
    </w:p>
    <w:p w14:paraId="430C8DA7" w14:textId="77777777" w:rsidR="00DC44BD" w:rsidRDefault="00000000">
      <w:pPr>
        <w:pStyle w:val="CDRHeading2"/>
      </w:pPr>
      <w:r>
        <w:t>4.5  Attack Configuration</w:t>
      </w:r>
    </w:p>
    <w:p w14:paraId="53A30739" w14:textId="77777777" w:rsidR="00DC44BD" w:rsidRDefault="00000000">
      <w:pPr>
        <w:pStyle w:val="CDRParagraph"/>
      </w:pPr>
      <w:r>
        <w:t>Both FGSM and PGD use the L2 norm-ratio constraint. We evaluate four budgets: ρ ∈ {0.005, 0.01, 0.02, 0.05} (-46 to -26 dB power ratio). PGD uses 10 steps with step size ρ/4 and random initialization.</w:t>
      </w:r>
    </w:p>
    <w:p w14:paraId="30590175" w14:textId="77777777" w:rsidR="00DC44BD" w:rsidRDefault="00000000">
      <w:pPr>
        <w:pStyle w:val="CDRHeading2"/>
      </w:pPr>
      <w:r>
        <w:t>4.6  Evaluation Metrics</w:t>
      </w:r>
    </w:p>
    <w:p w14:paraId="6199A09F" w14:textId="77777777" w:rsidR="00DC44BD" w:rsidRDefault="00000000">
      <w:pPr>
        <w:pStyle w:val="CDRParagraph"/>
      </w:pPr>
      <w:r>
        <w:t>We report clean accuracy, robust accuracy, attack success rate (ASR), training time, and parameter count. All stochastic evaluations are averaged over 10 independent trials with 95% confidence intervals via Student’s t-distribution.</w:t>
      </w:r>
    </w:p>
    <w:p w14:paraId="5DB3D9AA" w14:textId="77777777" w:rsidR="00DC44BD" w:rsidRDefault="00000000">
      <w:pPr>
        <w:pStyle w:val="CDRHeading1"/>
      </w:pPr>
      <w:r>
        <w:t>5  RESULTS</w:t>
      </w:r>
    </w:p>
    <w:p w14:paraId="57B229CB" w14:textId="77777777" w:rsidR="00DC44BD" w:rsidRDefault="00000000">
      <w:pPr>
        <w:pStyle w:val="CDRParagraph"/>
      </w:pPr>
      <w:r>
        <w:t>We present results across both RadioML 2016.10a and 2018.01a. The dual-dataset evaluation tests whether our findings generalize from a compact classification task to a substantially more complex one.</w:t>
      </w:r>
    </w:p>
    <w:p w14:paraId="68FA452F" w14:textId="77777777" w:rsidR="00DC44BD" w:rsidRDefault="00000000">
      <w:pPr>
        <w:pStyle w:val="CDRHeading2"/>
      </w:pPr>
      <w:r>
        <w:t>5.1  Baseline Performance</w:t>
      </w:r>
    </w:p>
    <w:p w14:paraId="643D0040" w14:textId="77777777" w:rsidR="00DC44BD" w:rsidRDefault="00000000">
      <w:pPr>
        <w:pStyle w:val="CDRParagraph"/>
      </w:pPr>
      <w:r>
        <w:t>The baseline CNN achieves 72.57% pooled validation accuracy on 2016.10a and 62.83% on 2018.01a. Training completes in approximately 14 minutes (2016) and 45 minutes (2018) on an NVIDIA A100 GPU.</w:t>
      </w:r>
    </w:p>
    <w:p w14:paraId="133F91D6" w14:textId="77777777" w:rsidR="00DC44BD" w:rsidRDefault="00000000">
      <w:pPr>
        <w:pStyle w:val="CDRParagraph"/>
      </w:pPr>
      <w:r>
        <w:rPr>
          <w:b/>
        </w:rPr>
        <w:t xml:space="preserve">RadioML 2016.10a. </w:t>
      </w:r>
      <w:r>
        <w:t xml:space="preserve">Under AWGN, clean accuracy reaches 83.68% at 0 dB and 85.59% at 10 dB. Under Rayleigh fading, accuracy drops to 45.21% at 0 dB and 41.42% at 10 dB, representing a 38–44 percentage point reduction. CFO further degrades performance to </w:t>
      </w:r>
      <w:r>
        <w:lastRenderedPageBreak/>
        <w:t>32.98% at 10 dB. Accuracy under fading does not improve at higher SNR, indicating multiplicative distortion dominates.</w:t>
      </w:r>
    </w:p>
    <w:p w14:paraId="08CA7884" w14:textId="77777777" w:rsidR="00DC44BD" w:rsidRDefault="00000000">
      <w:pPr>
        <w:pStyle w:val="CDRParagraph"/>
      </w:pPr>
      <w:r>
        <w:rPr>
          <w:b/>
        </w:rPr>
        <w:t xml:space="preserve">RadioML 2018.01a. </w:t>
      </w:r>
      <w:r>
        <w:t>Under AWGN, clean accuracy reaches 54.17% at 0 dB and 90.72% at 10 dB. Under Rayleigh fading, accuracy degrades to 26.64% at 10 dB (a 64-point drop). Under Rayleigh+CFO, accuracy falls to 20.38%. The more severe fading degradation reflects higher-order modulations’ sensitivity to constellation distortion.</w:t>
      </w:r>
    </w:p>
    <w:p w14:paraId="5A7E1527" w14:textId="77777777" w:rsidR="00DC44BD" w:rsidRDefault="00000000">
      <w:pPr>
        <w:pStyle w:val="CDRHeading2"/>
      </w:pPr>
      <w:r>
        <w:t>5.2  Adversarial Vulnerability</w:t>
      </w:r>
    </w:p>
    <w:p w14:paraId="31FE51A9" w14:textId="77777777" w:rsidR="00DC44BD" w:rsidRDefault="00000000">
      <w:pPr>
        <w:pStyle w:val="CDRHeading3"/>
      </w:pPr>
      <w:r>
        <w:t>5.2.1  Robust Accuracy vs SNR Under AWGN</w:t>
      </w:r>
    </w:p>
    <w:p w14:paraId="048F87BB" w14:textId="77777777" w:rsidR="00DC44BD" w:rsidRDefault="00000000">
      <w:pPr>
        <w:pStyle w:val="CDRParagraph"/>
      </w:pPr>
      <w:r>
        <w:rPr>
          <w:b/>
        </w:rPr>
        <w:t xml:space="preserve">RadioML 2016.10a. </w:t>
      </w:r>
      <w:r>
        <w:t>PGD at ρ = 1% achieves ASR of only 9.20% at 0 dB and 7.37% at 10 dB. FGSM achieves 8.63% and 7.19% respectively. The gap between clean and robust accuracy is approximately 7–8 percentage points at moderate-to-high SNR. PGD marginally outperforms FGSM (0.5–1 pp higher ASR).</w:t>
      </w:r>
    </w:p>
    <w:p w14:paraId="1156C16A" w14:textId="77777777" w:rsidR="00DC44BD" w:rsidRDefault="00000000">
      <w:pPr>
        <w:pStyle w:val="CDRParagraph"/>
      </w:pPr>
      <w:r>
        <w:rPr>
          <w:b/>
        </w:rPr>
        <w:t xml:space="preserve">RadioML 2018.01a. </w:t>
      </w:r>
      <w:r>
        <w:t>PGD at ρ = 1% achieves ASR of 35.49% at 0 dB and 30.87% at 10 dB, roughly four times the 2016 rate. FGSM achieves 26.37% ASR at 10 dB. The increased vulnerability is attributable to the higher-dimensional input space and more complex decision boundary geometry with 24 classes.</w:t>
      </w:r>
    </w:p>
    <w:p w14:paraId="4846C6FD" w14:textId="77777777" w:rsidR="00DC44BD" w:rsidRDefault="00000000">
      <w:pPr>
        <w:pStyle w:val="CDRParagraph"/>
      </w:pPr>
      <w:r>
        <w:rPr>
          <w:b/>
        </w:rPr>
        <w:t xml:space="preserve">Cross-dataset comparison. </w:t>
      </w:r>
      <w:r>
        <w:t>The contrast between 7–9% ASR on 2016 and 31–35% on 2018 underscores that adversarial vulnerability is task-dependent. These results stand in contrast to the high attack success rates reported in prior studies using different constraint formulations (Flowers, Buehrer, and Headley 2019). The discrepancy arises from our physically grounded norm-ratio constraint, correct SNR evaluation, and L2-normalized gradient direction.</w:t>
      </w:r>
    </w:p>
    <w:p w14:paraId="5E4CBCB0" w14:textId="77777777" w:rsidR="00DC44BD" w:rsidRDefault="00000000">
      <w:pPr>
        <w:pStyle w:val="CDRHeading3"/>
      </w:pPr>
      <w:r>
        <w:t>5.2.2  Channel Interaction with Adversarial Attacks</w:t>
      </w:r>
    </w:p>
    <w:p w14:paraId="40EF918A" w14:textId="77777777" w:rsidR="00DC44BD" w:rsidRDefault="00000000">
      <w:pPr>
        <w:pStyle w:val="CDRParagraph"/>
      </w:pPr>
      <w:r>
        <w:t>Under Rayleigh fading, reported ASR appears substantially higher (PGD: 46.00% at 10 dB on 2016), but the marginal damage of the attack is small. Under Rayleigh+AWGN at 10 dB (2016), clean accuracy is 41.42% and robust accuracy is 41.18%, amounting to less than 0.3 pp of additional degradation. The high ASR reflects channel degradation being attributed to the attack.</w:t>
      </w:r>
    </w:p>
    <w:p w14:paraId="41AF40A9" w14:textId="77777777" w:rsidR="00DC44BD" w:rsidRDefault="00000000">
      <w:pPr>
        <w:pStyle w:val="CDRParagraph"/>
      </w:pPr>
      <w:r>
        <w:t>On 2018, PGD reports 58.6% ASR under Rayleigh at 10 dB, but clean accuracy is already only 26.64%. The marginal adversarial damage is again modest. Channel impairments and adversarial perturbations do not compound multiplicatively; the stochastic channel decorrelates the adversarial gradient from the received signal.</w:t>
      </w:r>
    </w:p>
    <w:p w14:paraId="7B5071F3" w14:textId="77777777" w:rsidR="00DC44BD" w:rsidRDefault="00000000">
      <w:pPr>
        <w:pStyle w:val="CDRHeading3"/>
      </w:pPr>
      <w:r>
        <w:t>5.2.3  Attack Success vs Perturbation Budget</w:t>
      </w:r>
    </w:p>
    <w:p w14:paraId="58308052" w14:textId="77777777" w:rsidR="00DC44BD" w:rsidRDefault="00DC44BD"/>
    <w:p w14:paraId="57B7AC2B" w14:textId="77777777" w:rsidR="00DC44BD" w:rsidRDefault="00000000">
      <w:pPr>
        <w:jc w:val="center"/>
      </w:pPr>
      <w:r>
        <w:rPr>
          <w:b/>
          <w:sz w:val="18"/>
        </w:rPr>
        <w:t>Table 1: PGD Attack Success Rate vs Perturbation Budget (AWGN, SNR = 10 dB)</w:t>
      </w:r>
    </w:p>
    <w:tbl>
      <w:tblPr>
        <w:tblW w:w="0" w:type="auto"/>
        <w:jc w:val="center"/>
        <w:tblLook w:val="04A0" w:firstRow="1" w:lastRow="0" w:firstColumn="1" w:lastColumn="0" w:noHBand="0" w:noVBand="1"/>
      </w:tblPr>
      <w:tblGrid>
        <w:gridCol w:w="2160"/>
        <w:gridCol w:w="1296"/>
        <w:gridCol w:w="1440"/>
        <w:gridCol w:w="1296"/>
        <w:gridCol w:w="1440"/>
      </w:tblGrid>
      <w:tr w:rsidR="00DC44BD" w14:paraId="0F976494" w14:textId="77777777">
        <w:trPr>
          <w:jc w:val="center"/>
        </w:trPr>
        <w:tc>
          <w:tcPr>
            <w:tcW w:w="2160" w:type="dxa"/>
            <w:shd w:val="clear" w:color="auto" w:fill="D9E2F3"/>
          </w:tcPr>
          <w:p w14:paraId="3C54DA6B" w14:textId="77777777" w:rsidR="00DC44BD" w:rsidRDefault="00000000">
            <w:pPr>
              <w:jc w:val="center"/>
            </w:pPr>
            <w:r>
              <w:rPr>
                <w:b/>
                <w:sz w:val="18"/>
              </w:rPr>
              <w:lastRenderedPageBreak/>
              <w:t>ρ (norm ratio)</w:t>
            </w:r>
          </w:p>
        </w:tc>
        <w:tc>
          <w:tcPr>
            <w:tcW w:w="1296" w:type="dxa"/>
            <w:shd w:val="clear" w:color="auto" w:fill="D9E2F3"/>
          </w:tcPr>
          <w:p w14:paraId="1E4C0AD2" w14:textId="77777777" w:rsidR="00DC44BD" w:rsidRDefault="00000000">
            <w:pPr>
              <w:jc w:val="center"/>
            </w:pPr>
            <w:r>
              <w:rPr>
                <w:b/>
                <w:sz w:val="18"/>
              </w:rPr>
              <w:t>2016 ASR (%)</w:t>
            </w:r>
          </w:p>
        </w:tc>
        <w:tc>
          <w:tcPr>
            <w:tcW w:w="1440" w:type="dxa"/>
            <w:shd w:val="clear" w:color="auto" w:fill="D9E2F3"/>
          </w:tcPr>
          <w:p w14:paraId="6647ECDC" w14:textId="77777777" w:rsidR="00DC44BD" w:rsidRDefault="00000000">
            <w:pPr>
              <w:jc w:val="center"/>
            </w:pPr>
            <w:r>
              <w:rPr>
                <w:b/>
                <w:sz w:val="18"/>
              </w:rPr>
              <w:t>2016 Rob. Acc (%)</w:t>
            </w:r>
          </w:p>
        </w:tc>
        <w:tc>
          <w:tcPr>
            <w:tcW w:w="1296" w:type="dxa"/>
            <w:shd w:val="clear" w:color="auto" w:fill="D9E2F3"/>
          </w:tcPr>
          <w:p w14:paraId="70569434" w14:textId="77777777" w:rsidR="00DC44BD" w:rsidRDefault="00000000">
            <w:pPr>
              <w:jc w:val="center"/>
            </w:pPr>
            <w:r>
              <w:rPr>
                <w:b/>
                <w:sz w:val="18"/>
              </w:rPr>
              <w:t>2018 ASR (%)</w:t>
            </w:r>
          </w:p>
        </w:tc>
        <w:tc>
          <w:tcPr>
            <w:tcW w:w="1440" w:type="dxa"/>
            <w:shd w:val="clear" w:color="auto" w:fill="D9E2F3"/>
          </w:tcPr>
          <w:p w14:paraId="44807864" w14:textId="77777777" w:rsidR="00DC44BD" w:rsidRDefault="00000000">
            <w:pPr>
              <w:jc w:val="center"/>
            </w:pPr>
            <w:r>
              <w:rPr>
                <w:b/>
                <w:sz w:val="18"/>
              </w:rPr>
              <w:t>2018 Rob. Acc (%)</w:t>
            </w:r>
          </w:p>
        </w:tc>
      </w:tr>
      <w:tr w:rsidR="00DC44BD" w14:paraId="3116A6AD" w14:textId="77777777">
        <w:trPr>
          <w:jc w:val="center"/>
        </w:trPr>
        <w:tc>
          <w:tcPr>
            <w:tcW w:w="2160" w:type="dxa"/>
          </w:tcPr>
          <w:p w14:paraId="3DFA49D9" w14:textId="77777777" w:rsidR="00DC44BD" w:rsidRDefault="00000000">
            <w:pPr>
              <w:jc w:val="center"/>
            </w:pPr>
            <w:r>
              <w:rPr>
                <w:sz w:val="18"/>
              </w:rPr>
              <w:t>0.005 (0.5%, -46 dB)</w:t>
            </w:r>
          </w:p>
        </w:tc>
        <w:tc>
          <w:tcPr>
            <w:tcW w:w="1296" w:type="dxa"/>
          </w:tcPr>
          <w:p w14:paraId="45EFD9A1" w14:textId="77777777" w:rsidR="00DC44BD" w:rsidRDefault="00000000">
            <w:pPr>
              <w:jc w:val="center"/>
            </w:pPr>
            <w:r>
              <w:rPr>
                <w:sz w:val="18"/>
              </w:rPr>
              <w:t>3.52</w:t>
            </w:r>
          </w:p>
        </w:tc>
        <w:tc>
          <w:tcPr>
            <w:tcW w:w="1440" w:type="dxa"/>
          </w:tcPr>
          <w:p w14:paraId="1D7CE07D" w14:textId="77777777" w:rsidR="00DC44BD" w:rsidRDefault="00000000">
            <w:pPr>
              <w:jc w:val="center"/>
            </w:pPr>
            <w:r>
              <w:rPr>
                <w:sz w:val="18"/>
              </w:rPr>
              <w:t>82.58</w:t>
            </w:r>
          </w:p>
        </w:tc>
        <w:tc>
          <w:tcPr>
            <w:tcW w:w="1296" w:type="dxa"/>
          </w:tcPr>
          <w:p w14:paraId="5ABCDD92" w14:textId="77777777" w:rsidR="00DC44BD" w:rsidRDefault="00000000">
            <w:pPr>
              <w:jc w:val="center"/>
            </w:pPr>
            <w:r>
              <w:rPr>
                <w:sz w:val="18"/>
              </w:rPr>
              <w:t>14.15</w:t>
            </w:r>
          </w:p>
        </w:tc>
        <w:tc>
          <w:tcPr>
            <w:tcW w:w="1440" w:type="dxa"/>
          </w:tcPr>
          <w:p w14:paraId="1A8D12CB" w14:textId="77777777" w:rsidR="00DC44BD" w:rsidRDefault="00000000">
            <w:pPr>
              <w:jc w:val="center"/>
            </w:pPr>
            <w:r>
              <w:rPr>
                <w:sz w:val="18"/>
              </w:rPr>
              <w:t>77.88</w:t>
            </w:r>
          </w:p>
        </w:tc>
      </w:tr>
      <w:tr w:rsidR="00DC44BD" w14:paraId="5E63598F" w14:textId="77777777">
        <w:trPr>
          <w:jc w:val="center"/>
        </w:trPr>
        <w:tc>
          <w:tcPr>
            <w:tcW w:w="2160" w:type="dxa"/>
          </w:tcPr>
          <w:p w14:paraId="4D0505C7" w14:textId="77777777" w:rsidR="00DC44BD" w:rsidRDefault="00000000">
            <w:pPr>
              <w:jc w:val="center"/>
            </w:pPr>
            <w:r>
              <w:rPr>
                <w:sz w:val="18"/>
              </w:rPr>
              <w:t>0.010 (1.0%, -40 dB)</w:t>
            </w:r>
          </w:p>
        </w:tc>
        <w:tc>
          <w:tcPr>
            <w:tcW w:w="1296" w:type="dxa"/>
          </w:tcPr>
          <w:p w14:paraId="54BB6F58" w14:textId="77777777" w:rsidR="00DC44BD" w:rsidRDefault="00000000">
            <w:pPr>
              <w:jc w:val="center"/>
            </w:pPr>
            <w:r>
              <w:rPr>
                <w:sz w:val="18"/>
              </w:rPr>
              <w:t>7.36</w:t>
            </w:r>
          </w:p>
        </w:tc>
        <w:tc>
          <w:tcPr>
            <w:tcW w:w="1440" w:type="dxa"/>
          </w:tcPr>
          <w:p w14:paraId="35AB6AD2" w14:textId="77777777" w:rsidR="00DC44BD" w:rsidRDefault="00000000">
            <w:pPr>
              <w:jc w:val="center"/>
            </w:pPr>
            <w:r>
              <w:rPr>
                <w:sz w:val="18"/>
              </w:rPr>
              <w:t>79.29</w:t>
            </w:r>
          </w:p>
        </w:tc>
        <w:tc>
          <w:tcPr>
            <w:tcW w:w="1296" w:type="dxa"/>
          </w:tcPr>
          <w:p w14:paraId="0C2DCAB1" w14:textId="77777777" w:rsidR="00DC44BD" w:rsidRDefault="00000000">
            <w:pPr>
              <w:jc w:val="center"/>
            </w:pPr>
            <w:r>
              <w:rPr>
                <w:sz w:val="18"/>
              </w:rPr>
              <w:t>30.85</w:t>
            </w:r>
          </w:p>
        </w:tc>
        <w:tc>
          <w:tcPr>
            <w:tcW w:w="1440" w:type="dxa"/>
          </w:tcPr>
          <w:p w14:paraId="53C597F4" w14:textId="77777777" w:rsidR="00DC44BD" w:rsidRDefault="00000000">
            <w:pPr>
              <w:jc w:val="center"/>
            </w:pPr>
            <w:r>
              <w:rPr>
                <w:sz w:val="18"/>
              </w:rPr>
              <w:t>62.73</w:t>
            </w:r>
          </w:p>
        </w:tc>
      </w:tr>
      <w:tr w:rsidR="00DC44BD" w14:paraId="0298EAA8" w14:textId="77777777">
        <w:trPr>
          <w:jc w:val="center"/>
        </w:trPr>
        <w:tc>
          <w:tcPr>
            <w:tcW w:w="2160" w:type="dxa"/>
          </w:tcPr>
          <w:p w14:paraId="246FAEB3" w14:textId="77777777" w:rsidR="00DC44BD" w:rsidRDefault="00000000">
            <w:pPr>
              <w:jc w:val="center"/>
            </w:pPr>
            <w:r>
              <w:rPr>
                <w:sz w:val="18"/>
              </w:rPr>
              <w:t>0.020 (2.0%, -34 dB)</w:t>
            </w:r>
          </w:p>
        </w:tc>
        <w:tc>
          <w:tcPr>
            <w:tcW w:w="1296" w:type="dxa"/>
          </w:tcPr>
          <w:p w14:paraId="6B8DC425" w14:textId="77777777" w:rsidR="00DC44BD" w:rsidRDefault="00000000">
            <w:pPr>
              <w:jc w:val="center"/>
            </w:pPr>
            <w:r>
              <w:rPr>
                <w:sz w:val="18"/>
              </w:rPr>
              <w:t>14.97</w:t>
            </w:r>
          </w:p>
        </w:tc>
        <w:tc>
          <w:tcPr>
            <w:tcW w:w="1440" w:type="dxa"/>
          </w:tcPr>
          <w:p w14:paraId="38AAA558" w14:textId="77777777" w:rsidR="00DC44BD" w:rsidRDefault="00000000">
            <w:pPr>
              <w:jc w:val="center"/>
            </w:pPr>
            <w:r>
              <w:rPr>
                <w:sz w:val="18"/>
              </w:rPr>
              <w:t>72.78</w:t>
            </w:r>
          </w:p>
        </w:tc>
        <w:tc>
          <w:tcPr>
            <w:tcW w:w="1296" w:type="dxa"/>
          </w:tcPr>
          <w:p w14:paraId="0595FC03" w14:textId="77777777" w:rsidR="00DC44BD" w:rsidRDefault="00000000">
            <w:pPr>
              <w:jc w:val="center"/>
            </w:pPr>
            <w:r>
              <w:rPr>
                <w:sz w:val="18"/>
              </w:rPr>
              <w:t>59.16</w:t>
            </w:r>
          </w:p>
        </w:tc>
        <w:tc>
          <w:tcPr>
            <w:tcW w:w="1440" w:type="dxa"/>
          </w:tcPr>
          <w:p w14:paraId="65F1A6CD" w14:textId="77777777" w:rsidR="00DC44BD" w:rsidRDefault="00000000">
            <w:pPr>
              <w:jc w:val="center"/>
            </w:pPr>
            <w:r>
              <w:rPr>
                <w:sz w:val="18"/>
              </w:rPr>
              <w:t>37.05</w:t>
            </w:r>
          </w:p>
        </w:tc>
      </w:tr>
      <w:tr w:rsidR="00DC44BD" w14:paraId="3A45B3A0" w14:textId="77777777">
        <w:trPr>
          <w:jc w:val="center"/>
        </w:trPr>
        <w:tc>
          <w:tcPr>
            <w:tcW w:w="2160" w:type="dxa"/>
          </w:tcPr>
          <w:p w14:paraId="3F6EDCE3" w14:textId="77777777" w:rsidR="00DC44BD" w:rsidRDefault="00000000">
            <w:pPr>
              <w:jc w:val="center"/>
            </w:pPr>
            <w:r>
              <w:rPr>
                <w:sz w:val="18"/>
              </w:rPr>
              <w:t>0.050 (5.0%, -26 dB)</w:t>
            </w:r>
          </w:p>
        </w:tc>
        <w:tc>
          <w:tcPr>
            <w:tcW w:w="1296" w:type="dxa"/>
          </w:tcPr>
          <w:p w14:paraId="1B1CD09A" w14:textId="77777777" w:rsidR="00DC44BD" w:rsidRDefault="00000000">
            <w:pPr>
              <w:jc w:val="center"/>
            </w:pPr>
            <w:r>
              <w:rPr>
                <w:sz w:val="18"/>
              </w:rPr>
              <w:t>44.32</w:t>
            </w:r>
          </w:p>
        </w:tc>
        <w:tc>
          <w:tcPr>
            <w:tcW w:w="1440" w:type="dxa"/>
          </w:tcPr>
          <w:p w14:paraId="3B7B7026" w14:textId="77777777" w:rsidR="00DC44BD" w:rsidRDefault="00000000">
            <w:pPr>
              <w:jc w:val="center"/>
            </w:pPr>
            <w:r>
              <w:rPr>
                <w:sz w:val="18"/>
              </w:rPr>
              <w:t>47.66</w:t>
            </w:r>
          </w:p>
        </w:tc>
        <w:tc>
          <w:tcPr>
            <w:tcW w:w="1296" w:type="dxa"/>
          </w:tcPr>
          <w:p w14:paraId="098A313B" w14:textId="77777777" w:rsidR="00DC44BD" w:rsidRDefault="00000000">
            <w:pPr>
              <w:jc w:val="center"/>
            </w:pPr>
            <w:r>
              <w:rPr>
                <w:sz w:val="18"/>
              </w:rPr>
              <w:t>78.64</w:t>
            </w:r>
          </w:p>
        </w:tc>
        <w:tc>
          <w:tcPr>
            <w:tcW w:w="1440" w:type="dxa"/>
          </w:tcPr>
          <w:p w14:paraId="158F6C98" w14:textId="77777777" w:rsidR="00DC44BD" w:rsidRDefault="00000000">
            <w:pPr>
              <w:jc w:val="center"/>
            </w:pPr>
            <w:r>
              <w:rPr>
                <w:sz w:val="18"/>
              </w:rPr>
              <w:t>19.38</w:t>
            </w:r>
          </w:p>
        </w:tc>
      </w:tr>
    </w:tbl>
    <w:p w14:paraId="1F08C1A4" w14:textId="77777777" w:rsidR="00DC44BD" w:rsidRDefault="00DC44BD"/>
    <w:p w14:paraId="2DF9731E" w14:textId="77777777" w:rsidR="00DC44BD" w:rsidRDefault="00000000">
      <w:pPr>
        <w:pStyle w:val="CDRParagraph"/>
      </w:pPr>
      <w:r>
        <w:t>The 2018 dataset shows a steeper initial slope: doubling ρ from 0.5% to 1% increases ASR by 3.8 pp on 2016 but 16.7 pp on 2018. At ρ = 5%, the 2018 classifier is nearly fully compromised (78.64% ASR) while 2016 retains meaningful accuracy (47.66% robust accuracy).</w:t>
      </w:r>
    </w:p>
    <w:p w14:paraId="55C204C3" w14:textId="77777777" w:rsidR="00DC44BD" w:rsidRDefault="00000000">
      <w:pPr>
        <w:pStyle w:val="CDRHeading2"/>
      </w:pPr>
      <w:r>
        <w:t>5.3  Defense Comparison</w:t>
      </w:r>
    </w:p>
    <w:p w14:paraId="0F3D95E5" w14:textId="77777777" w:rsidR="00DC44BD" w:rsidRDefault="00000000">
      <w:pPr>
        <w:pStyle w:val="CDRParagraph"/>
      </w:pPr>
      <w:r>
        <w:t>Tables 2 and 3 present defense results at SNR = 0 and 10 dB under AWGN with PGD at ρ = 1%.</w:t>
      </w:r>
    </w:p>
    <w:p w14:paraId="48AC18A1" w14:textId="77777777" w:rsidR="00DC44BD" w:rsidRDefault="00DC44BD"/>
    <w:p w14:paraId="0D39B94D" w14:textId="77777777" w:rsidR="00DC44BD" w:rsidRDefault="00000000">
      <w:pPr>
        <w:jc w:val="center"/>
      </w:pPr>
      <w:r>
        <w:rPr>
          <w:b/>
          <w:sz w:val="18"/>
        </w:rPr>
        <w:t>Table 2: Defense Comparison: RadioML 2016.10a (AWGN, PGD ρ = 1%)</w:t>
      </w:r>
    </w:p>
    <w:tbl>
      <w:tblPr>
        <w:tblW w:w="0" w:type="auto"/>
        <w:jc w:val="center"/>
        <w:tblLook w:val="04A0" w:firstRow="1" w:lastRow="0" w:firstColumn="1" w:lastColumn="0" w:noHBand="0" w:noVBand="1"/>
      </w:tblPr>
      <w:tblGrid>
        <w:gridCol w:w="1872"/>
        <w:gridCol w:w="720"/>
        <w:gridCol w:w="1152"/>
        <w:gridCol w:w="1152"/>
        <w:gridCol w:w="1008"/>
        <w:gridCol w:w="1152"/>
      </w:tblGrid>
      <w:tr w:rsidR="00DC44BD" w14:paraId="20658C26" w14:textId="77777777">
        <w:trPr>
          <w:jc w:val="center"/>
        </w:trPr>
        <w:tc>
          <w:tcPr>
            <w:tcW w:w="1872" w:type="dxa"/>
            <w:shd w:val="clear" w:color="auto" w:fill="D9E2F3"/>
          </w:tcPr>
          <w:p w14:paraId="7A866628" w14:textId="77777777" w:rsidR="00DC44BD" w:rsidRDefault="00000000">
            <w:pPr>
              <w:jc w:val="center"/>
            </w:pPr>
            <w:r>
              <w:rPr>
                <w:b/>
                <w:sz w:val="18"/>
              </w:rPr>
              <w:t>Defense</w:t>
            </w:r>
          </w:p>
        </w:tc>
        <w:tc>
          <w:tcPr>
            <w:tcW w:w="720" w:type="dxa"/>
            <w:shd w:val="clear" w:color="auto" w:fill="D9E2F3"/>
          </w:tcPr>
          <w:p w14:paraId="110A0CA9" w14:textId="77777777" w:rsidR="00DC44BD" w:rsidRDefault="00000000">
            <w:pPr>
              <w:jc w:val="center"/>
            </w:pPr>
            <w:r>
              <w:rPr>
                <w:b/>
                <w:sz w:val="18"/>
              </w:rPr>
              <w:t>SNR</w:t>
            </w:r>
          </w:p>
        </w:tc>
        <w:tc>
          <w:tcPr>
            <w:tcW w:w="1152" w:type="dxa"/>
            <w:shd w:val="clear" w:color="auto" w:fill="D9E2F3"/>
          </w:tcPr>
          <w:p w14:paraId="49947A19" w14:textId="77777777" w:rsidR="00DC44BD" w:rsidRDefault="00000000">
            <w:pPr>
              <w:jc w:val="center"/>
            </w:pPr>
            <w:r>
              <w:rPr>
                <w:b/>
                <w:sz w:val="18"/>
              </w:rPr>
              <w:t>Clean (%)</w:t>
            </w:r>
          </w:p>
        </w:tc>
        <w:tc>
          <w:tcPr>
            <w:tcW w:w="1152" w:type="dxa"/>
            <w:shd w:val="clear" w:color="auto" w:fill="D9E2F3"/>
          </w:tcPr>
          <w:p w14:paraId="601CEE97" w14:textId="77777777" w:rsidR="00DC44BD" w:rsidRDefault="00000000">
            <w:pPr>
              <w:jc w:val="center"/>
            </w:pPr>
            <w:r>
              <w:rPr>
                <w:b/>
                <w:sz w:val="18"/>
              </w:rPr>
              <w:t>Robust (%)</w:t>
            </w:r>
          </w:p>
        </w:tc>
        <w:tc>
          <w:tcPr>
            <w:tcW w:w="1008" w:type="dxa"/>
            <w:shd w:val="clear" w:color="auto" w:fill="D9E2F3"/>
          </w:tcPr>
          <w:p w14:paraId="50FA0B12" w14:textId="77777777" w:rsidR="00DC44BD" w:rsidRDefault="00000000">
            <w:pPr>
              <w:jc w:val="center"/>
            </w:pPr>
            <w:r>
              <w:rPr>
                <w:b/>
                <w:sz w:val="18"/>
              </w:rPr>
              <w:t>ASR (%)</w:t>
            </w:r>
          </w:p>
        </w:tc>
        <w:tc>
          <w:tcPr>
            <w:tcW w:w="1152" w:type="dxa"/>
            <w:shd w:val="clear" w:color="auto" w:fill="D9E2F3"/>
          </w:tcPr>
          <w:p w14:paraId="238780D1" w14:textId="77777777" w:rsidR="00DC44BD" w:rsidRDefault="00000000">
            <w:pPr>
              <w:jc w:val="center"/>
            </w:pPr>
            <w:r>
              <w:rPr>
                <w:b/>
                <w:sz w:val="18"/>
              </w:rPr>
              <w:t>Time (min)</w:t>
            </w:r>
          </w:p>
        </w:tc>
      </w:tr>
      <w:tr w:rsidR="00DC44BD" w14:paraId="73128A4D" w14:textId="77777777">
        <w:trPr>
          <w:jc w:val="center"/>
        </w:trPr>
        <w:tc>
          <w:tcPr>
            <w:tcW w:w="1872" w:type="dxa"/>
          </w:tcPr>
          <w:p w14:paraId="72BE4673" w14:textId="77777777" w:rsidR="00DC44BD" w:rsidRDefault="00000000">
            <w:pPr>
              <w:jc w:val="center"/>
            </w:pPr>
            <w:r>
              <w:rPr>
                <w:sz w:val="18"/>
              </w:rPr>
              <w:t>Baseline</w:t>
            </w:r>
          </w:p>
        </w:tc>
        <w:tc>
          <w:tcPr>
            <w:tcW w:w="720" w:type="dxa"/>
          </w:tcPr>
          <w:p w14:paraId="08A18FE9" w14:textId="77777777" w:rsidR="00DC44BD" w:rsidRDefault="00000000">
            <w:pPr>
              <w:jc w:val="center"/>
            </w:pPr>
            <w:r>
              <w:rPr>
                <w:sz w:val="18"/>
              </w:rPr>
              <w:t>0</w:t>
            </w:r>
          </w:p>
        </w:tc>
        <w:tc>
          <w:tcPr>
            <w:tcW w:w="1152" w:type="dxa"/>
          </w:tcPr>
          <w:p w14:paraId="391A80F0" w14:textId="77777777" w:rsidR="00DC44BD" w:rsidRDefault="00000000">
            <w:pPr>
              <w:jc w:val="center"/>
            </w:pPr>
            <w:r>
              <w:rPr>
                <w:sz w:val="18"/>
              </w:rPr>
              <w:t>83.68</w:t>
            </w:r>
          </w:p>
        </w:tc>
        <w:tc>
          <w:tcPr>
            <w:tcW w:w="1152" w:type="dxa"/>
          </w:tcPr>
          <w:p w14:paraId="48D13FDE" w14:textId="77777777" w:rsidR="00DC44BD" w:rsidRDefault="00000000">
            <w:pPr>
              <w:jc w:val="center"/>
            </w:pPr>
            <w:r>
              <w:rPr>
                <w:sz w:val="18"/>
              </w:rPr>
              <w:t>75.97</w:t>
            </w:r>
          </w:p>
        </w:tc>
        <w:tc>
          <w:tcPr>
            <w:tcW w:w="1008" w:type="dxa"/>
          </w:tcPr>
          <w:p w14:paraId="1E8C08D5" w14:textId="77777777" w:rsidR="00DC44BD" w:rsidRDefault="00000000">
            <w:pPr>
              <w:jc w:val="center"/>
            </w:pPr>
            <w:r>
              <w:rPr>
                <w:sz w:val="18"/>
              </w:rPr>
              <w:t>9.21</w:t>
            </w:r>
          </w:p>
        </w:tc>
        <w:tc>
          <w:tcPr>
            <w:tcW w:w="1152" w:type="dxa"/>
          </w:tcPr>
          <w:p w14:paraId="7D3B9D68" w14:textId="77777777" w:rsidR="00DC44BD" w:rsidRDefault="00000000">
            <w:pPr>
              <w:jc w:val="center"/>
            </w:pPr>
            <w:r>
              <w:rPr>
                <w:sz w:val="18"/>
              </w:rPr>
              <w:t>—</w:t>
            </w:r>
          </w:p>
        </w:tc>
      </w:tr>
      <w:tr w:rsidR="00DC44BD" w14:paraId="3A1B905D" w14:textId="77777777">
        <w:trPr>
          <w:jc w:val="center"/>
        </w:trPr>
        <w:tc>
          <w:tcPr>
            <w:tcW w:w="1872" w:type="dxa"/>
          </w:tcPr>
          <w:p w14:paraId="29509EFD" w14:textId="77777777" w:rsidR="00DC44BD" w:rsidRDefault="00000000">
            <w:pPr>
              <w:jc w:val="center"/>
            </w:pPr>
            <w:r>
              <w:rPr>
                <w:sz w:val="18"/>
              </w:rPr>
              <w:t>Baseline</w:t>
            </w:r>
          </w:p>
        </w:tc>
        <w:tc>
          <w:tcPr>
            <w:tcW w:w="720" w:type="dxa"/>
          </w:tcPr>
          <w:p w14:paraId="14F022DC" w14:textId="77777777" w:rsidR="00DC44BD" w:rsidRDefault="00000000">
            <w:pPr>
              <w:jc w:val="center"/>
            </w:pPr>
            <w:r>
              <w:rPr>
                <w:sz w:val="18"/>
              </w:rPr>
              <w:t>10</w:t>
            </w:r>
          </w:p>
        </w:tc>
        <w:tc>
          <w:tcPr>
            <w:tcW w:w="1152" w:type="dxa"/>
          </w:tcPr>
          <w:p w14:paraId="5B760852" w14:textId="77777777" w:rsidR="00DC44BD" w:rsidRDefault="00000000">
            <w:pPr>
              <w:jc w:val="center"/>
            </w:pPr>
            <w:r>
              <w:rPr>
                <w:sz w:val="18"/>
              </w:rPr>
              <w:t>85.59</w:t>
            </w:r>
          </w:p>
        </w:tc>
        <w:tc>
          <w:tcPr>
            <w:tcW w:w="1152" w:type="dxa"/>
          </w:tcPr>
          <w:p w14:paraId="5A2A06AE" w14:textId="77777777" w:rsidR="00DC44BD" w:rsidRDefault="00000000">
            <w:pPr>
              <w:jc w:val="center"/>
            </w:pPr>
            <w:r>
              <w:rPr>
                <w:sz w:val="18"/>
              </w:rPr>
              <w:t>79.32</w:t>
            </w:r>
          </w:p>
        </w:tc>
        <w:tc>
          <w:tcPr>
            <w:tcW w:w="1008" w:type="dxa"/>
          </w:tcPr>
          <w:p w14:paraId="194F39B3" w14:textId="77777777" w:rsidR="00DC44BD" w:rsidRDefault="00000000">
            <w:pPr>
              <w:jc w:val="center"/>
            </w:pPr>
            <w:r>
              <w:rPr>
                <w:sz w:val="18"/>
              </w:rPr>
              <w:t>7.33</w:t>
            </w:r>
          </w:p>
        </w:tc>
        <w:tc>
          <w:tcPr>
            <w:tcW w:w="1152" w:type="dxa"/>
          </w:tcPr>
          <w:p w14:paraId="0F653E81" w14:textId="77777777" w:rsidR="00DC44BD" w:rsidRDefault="00000000">
            <w:pPr>
              <w:jc w:val="center"/>
            </w:pPr>
            <w:r>
              <w:rPr>
                <w:sz w:val="18"/>
              </w:rPr>
              <w:t>—</w:t>
            </w:r>
          </w:p>
        </w:tc>
      </w:tr>
      <w:tr w:rsidR="00DC44BD" w14:paraId="2449D057" w14:textId="77777777">
        <w:trPr>
          <w:jc w:val="center"/>
        </w:trPr>
        <w:tc>
          <w:tcPr>
            <w:tcW w:w="1872" w:type="dxa"/>
          </w:tcPr>
          <w:p w14:paraId="4E7E0DC9" w14:textId="77777777" w:rsidR="00DC44BD" w:rsidRDefault="00000000">
            <w:pPr>
              <w:jc w:val="center"/>
            </w:pPr>
            <w:r>
              <w:rPr>
                <w:sz w:val="18"/>
              </w:rPr>
              <w:t>Adv. Training</w:t>
            </w:r>
          </w:p>
        </w:tc>
        <w:tc>
          <w:tcPr>
            <w:tcW w:w="720" w:type="dxa"/>
          </w:tcPr>
          <w:p w14:paraId="54E3B53B" w14:textId="77777777" w:rsidR="00DC44BD" w:rsidRDefault="00000000">
            <w:pPr>
              <w:jc w:val="center"/>
            </w:pPr>
            <w:r>
              <w:rPr>
                <w:sz w:val="18"/>
              </w:rPr>
              <w:t>0</w:t>
            </w:r>
          </w:p>
        </w:tc>
        <w:tc>
          <w:tcPr>
            <w:tcW w:w="1152" w:type="dxa"/>
          </w:tcPr>
          <w:p w14:paraId="3EAC70C6" w14:textId="77777777" w:rsidR="00DC44BD" w:rsidRDefault="00000000">
            <w:pPr>
              <w:jc w:val="center"/>
            </w:pPr>
            <w:r>
              <w:rPr>
                <w:sz w:val="18"/>
              </w:rPr>
              <w:t>78.82</w:t>
            </w:r>
          </w:p>
        </w:tc>
        <w:tc>
          <w:tcPr>
            <w:tcW w:w="1152" w:type="dxa"/>
          </w:tcPr>
          <w:p w14:paraId="786F3BAF" w14:textId="77777777" w:rsidR="00DC44BD" w:rsidRDefault="00000000">
            <w:pPr>
              <w:jc w:val="center"/>
            </w:pPr>
            <w:r>
              <w:rPr>
                <w:sz w:val="18"/>
              </w:rPr>
              <w:t>72.69</w:t>
            </w:r>
          </w:p>
        </w:tc>
        <w:tc>
          <w:tcPr>
            <w:tcW w:w="1008" w:type="dxa"/>
          </w:tcPr>
          <w:p w14:paraId="5E51AE05" w14:textId="77777777" w:rsidR="00DC44BD" w:rsidRDefault="00000000">
            <w:pPr>
              <w:jc w:val="center"/>
            </w:pPr>
            <w:r>
              <w:rPr>
                <w:sz w:val="18"/>
              </w:rPr>
              <w:t>7.78</w:t>
            </w:r>
          </w:p>
        </w:tc>
        <w:tc>
          <w:tcPr>
            <w:tcW w:w="1152" w:type="dxa"/>
          </w:tcPr>
          <w:p w14:paraId="7E8DE2FC" w14:textId="77777777" w:rsidR="00DC44BD" w:rsidRDefault="00000000">
            <w:pPr>
              <w:jc w:val="center"/>
            </w:pPr>
            <w:r>
              <w:rPr>
                <w:sz w:val="18"/>
              </w:rPr>
              <w:t>103.5</w:t>
            </w:r>
          </w:p>
        </w:tc>
      </w:tr>
      <w:tr w:rsidR="00DC44BD" w14:paraId="46C4051F" w14:textId="77777777">
        <w:trPr>
          <w:jc w:val="center"/>
        </w:trPr>
        <w:tc>
          <w:tcPr>
            <w:tcW w:w="1872" w:type="dxa"/>
          </w:tcPr>
          <w:p w14:paraId="3ECA5792" w14:textId="77777777" w:rsidR="00DC44BD" w:rsidRDefault="00000000">
            <w:pPr>
              <w:jc w:val="center"/>
            </w:pPr>
            <w:r>
              <w:rPr>
                <w:sz w:val="18"/>
              </w:rPr>
              <w:t>Adv. Training</w:t>
            </w:r>
          </w:p>
        </w:tc>
        <w:tc>
          <w:tcPr>
            <w:tcW w:w="720" w:type="dxa"/>
          </w:tcPr>
          <w:p w14:paraId="738E5E31" w14:textId="77777777" w:rsidR="00DC44BD" w:rsidRDefault="00000000">
            <w:pPr>
              <w:jc w:val="center"/>
            </w:pPr>
            <w:r>
              <w:rPr>
                <w:sz w:val="18"/>
              </w:rPr>
              <w:t>10</w:t>
            </w:r>
          </w:p>
        </w:tc>
        <w:tc>
          <w:tcPr>
            <w:tcW w:w="1152" w:type="dxa"/>
          </w:tcPr>
          <w:p w14:paraId="37C07C0E" w14:textId="77777777" w:rsidR="00DC44BD" w:rsidRDefault="00000000">
            <w:pPr>
              <w:jc w:val="center"/>
            </w:pPr>
            <w:r>
              <w:rPr>
                <w:sz w:val="18"/>
              </w:rPr>
              <w:t>83.08</w:t>
            </w:r>
          </w:p>
        </w:tc>
        <w:tc>
          <w:tcPr>
            <w:tcW w:w="1152" w:type="dxa"/>
          </w:tcPr>
          <w:p w14:paraId="6E640178" w14:textId="77777777" w:rsidR="00DC44BD" w:rsidRDefault="00000000">
            <w:pPr>
              <w:jc w:val="center"/>
            </w:pPr>
            <w:r>
              <w:rPr>
                <w:sz w:val="18"/>
              </w:rPr>
              <w:t>80.69</w:t>
            </w:r>
          </w:p>
        </w:tc>
        <w:tc>
          <w:tcPr>
            <w:tcW w:w="1008" w:type="dxa"/>
          </w:tcPr>
          <w:p w14:paraId="0D995760" w14:textId="77777777" w:rsidR="00DC44BD" w:rsidRDefault="00000000">
            <w:pPr>
              <w:jc w:val="center"/>
            </w:pPr>
            <w:r>
              <w:rPr>
                <w:sz w:val="18"/>
              </w:rPr>
              <w:t>2.88</w:t>
            </w:r>
          </w:p>
        </w:tc>
        <w:tc>
          <w:tcPr>
            <w:tcW w:w="1152" w:type="dxa"/>
          </w:tcPr>
          <w:p w14:paraId="4EB9BE3D" w14:textId="77777777" w:rsidR="00DC44BD" w:rsidRDefault="00000000">
            <w:pPr>
              <w:jc w:val="center"/>
            </w:pPr>
            <w:r>
              <w:rPr>
                <w:sz w:val="18"/>
              </w:rPr>
              <w:t>103.5</w:t>
            </w:r>
          </w:p>
        </w:tc>
      </w:tr>
      <w:tr w:rsidR="00DC44BD" w14:paraId="0B2BA342" w14:textId="77777777">
        <w:trPr>
          <w:jc w:val="center"/>
        </w:trPr>
        <w:tc>
          <w:tcPr>
            <w:tcW w:w="1872" w:type="dxa"/>
          </w:tcPr>
          <w:p w14:paraId="690563BB" w14:textId="77777777" w:rsidR="00DC44BD" w:rsidRDefault="00000000">
            <w:pPr>
              <w:jc w:val="center"/>
            </w:pPr>
            <w:r>
              <w:rPr>
                <w:sz w:val="18"/>
              </w:rPr>
              <w:t>Noise Injection</w:t>
            </w:r>
          </w:p>
        </w:tc>
        <w:tc>
          <w:tcPr>
            <w:tcW w:w="720" w:type="dxa"/>
          </w:tcPr>
          <w:p w14:paraId="0ECFE53D" w14:textId="77777777" w:rsidR="00DC44BD" w:rsidRDefault="00000000">
            <w:pPr>
              <w:jc w:val="center"/>
            </w:pPr>
            <w:r>
              <w:rPr>
                <w:sz w:val="18"/>
              </w:rPr>
              <w:t>0</w:t>
            </w:r>
          </w:p>
        </w:tc>
        <w:tc>
          <w:tcPr>
            <w:tcW w:w="1152" w:type="dxa"/>
          </w:tcPr>
          <w:p w14:paraId="589A02A4" w14:textId="77777777" w:rsidR="00DC44BD" w:rsidRDefault="00000000">
            <w:pPr>
              <w:jc w:val="center"/>
            </w:pPr>
            <w:r>
              <w:rPr>
                <w:sz w:val="18"/>
              </w:rPr>
              <w:t>50.73</w:t>
            </w:r>
          </w:p>
        </w:tc>
        <w:tc>
          <w:tcPr>
            <w:tcW w:w="1152" w:type="dxa"/>
          </w:tcPr>
          <w:p w14:paraId="2764313C" w14:textId="77777777" w:rsidR="00DC44BD" w:rsidRDefault="00000000">
            <w:pPr>
              <w:jc w:val="center"/>
            </w:pPr>
            <w:r>
              <w:rPr>
                <w:sz w:val="18"/>
              </w:rPr>
              <w:t>49.45</w:t>
            </w:r>
          </w:p>
        </w:tc>
        <w:tc>
          <w:tcPr>
            <w:tcW w:w="1008" w:type="dxa"/>
          </w:tcPr>
          <w:p w14:paraId="49C1949A" w14:textId="77777777" w:rsidR="00DC44BD" w:rsidRDefault="00000000">
            <w:pPr>
              <w:jc w:val="center"/>
            </w:pPr>
            <w:r>
              <w:rPr>
                <w:sz w:val="18"/>
              </w:rPr>
              <w:t>2.63</w:t>
            </w:r>
          </w:p>
        </w:tc>
        <w:tc>
          <w:tcPr>
            <w:tcW w:w="1152" w:type="dxa"/>
          </w:tcPr>
          <w:p w14:paraId="226EAE91" w14:textId="77777777" w:rsidR="00DC44BD" w:rsidRDefault="00000000">
            <w:pPr>
              <w:jc w:val="center"/>
            </w:pPr>
            <w:r>
              <w:rPr>
                <w:sz w:val="18"/>
              </w:rPr>
              <w:t>18.4</w:t>
            </w:r>
          </w:p>
        </w:tc>
      </w:tr>
      <w:tr w:rsidR="00DC44BD" w14:paraId="09F09288" w14:textId="77777777">
        <w:trPr>
          <w:jc w:val="center"/>
        </w:trPr>
        <w:tc>
          <w:tcPr>
            <w:tcW w:w="1872" w:type="dxa"/>
          </w:tcPr>
          <w:p w14:paraId="2422BF65" w14:textId="77777777" w:rsidR="00DC44BD" w:rsidRDefault="00000000">
            <w:pPr>
              <w:jc w:val="center"/>
            </w:pPr>
            <w:r>
              <w:rPr>
                <w:sz w:val="18"/>
              </w:rPr>
              <w:t>Noise Injection</w:t>
            </w:r>
          </w:p>
        </w:tc>
        <w:tc>
          <w:tcPr>
            <w:tcW w:w="720" w:type="dxa"/>
          </w:tcPr>
          <w:p w14:paraId="641543CE" w14:textId="77777777" w:rsidR="00DC44BD" w:rsidRDefault="00000000">
            <w:pPr>
              <w:jc w:val="center"/>
            </w:pPr>
            <w:r>
              <w:rPr>
                <w:sz w:val="18"/>
              </w:rPr>
              <w:t>10</w:t>
            </w:r>
          </w:p>
        </w:tc>
        <w:tc>
          <w:tcPr>
            <w:tcW w:w="1152" w:type="dxa"/>
          </w:tcPr>
          <w:p w14:paraId="1ED725EE" w14:textId="77777777" w:rsidR="00DC44BD" w:rsidRDefault="00000000">
            <w:pPr>
              <w:jc w:val="center"/>
            </w:pPr>
            <w:r>
              <w:rPr>
                <w:sz w:val="18"/>
              </w:rPr>
              <w:t>52.96</w:t>
            </w:r>
          </w:p>
        </w:tc>
        <w:tc>
          <w:tcPr>
            <w:tcW w:w="1152" w:type="dxa"/>
          </w:tcPr>
          <w:p w14:paraId="3ED6EB1C" w14:textId="77777777" w:rsidR="00DC44BD" w:rsidRDefault="00000000">
            <w:pPr>
              <w:jc w:val="center"/>
            </w:pPr>
            <w:r>
              <w:rPr>
                <w:sz w:val="18"/>
              </w:rPr>
              <w:t>51.40</w:t>
            </w:r>
          </w:p>
        </w:tc>
        <w:tc>
          <w:tcPr>
            <w:tcW w:w="1008" w:type="dxa"/>
          </w:tcPr>
          <w:p w14:paraId="56066E3B" w14:textId="77777777" w:rsidR="00DC44BD" w:rsidRDefault="00000000">
            <w:pPr>
              <w:jc w:val="center"/>
            </w:pPr>
            <w:r>
              <w:rPr>
                <w:sz w:val="18"/>
              </w:rPr>
              <w:t>3.05</w:t>
            </w:r>
          </w:p>
        </w:tc>
        <w:tc>
          <w:tcPr>
            <w:tcW w:w="1152" w:type="dxa"/>
          </w:tcPr>
          <w:p w14:paraId="4FBFBE33" w14:textId="77777777" w:rsidR="00DC44BD" w:rsidRDefault="00000000">
            <w:pPr>
              <w:jc w:val="center"/>
            </w:pPr>
            <w:r>
              <w:rPr>
                <w:sz w:val="18"/>
              </w:rPr>
              <w:t>18.4</w:t>
            </w:r>
          </w:p>
        </w:tc>
      </w:tr>
      <w:tr w:rsidR="00DC44BD" w14:paraId="0B199588" w14:textId="77777777">
        <w:trPr>
          <w:jc w:val="center"/>
        </w:trPr>
        <w:tc>
          <w:tcPr>
            <w:tcW w:w="1872" w:type="dxa"/>
          </w:tcPr>
          <w:p w14:paraId="6D322360" w14:textId="77777777" w:rsidR="00DC44BD" w:rsidRDefault="00000000">
            <w:pPr>
              <w:jc w:val="center"/>
            </w:pPr>
            <w:r>
              <w:rPr>
                <w:sz w:val="18"/>
              </w:rPr>
              <w:t>Channel Aug.</w:t>
            </w:r>
          </w:p>
        </w:tc>
        <w:tc>
          <w:tcPr>
            <w:tcW w:w="720" w:type="dxa"/>
          </w:tcPr>
          <w:p w14:paraId="37840E04" w14:textId="77777777" w:rsidR="00DC44BD" w:rsidRDefault="00000000">
            <w:pPr>
              <w:jc w:val="center"/>
            </w:pPr>
            <w:r>
              <w:rPr>
                <w:sz w:val="18"/>
              </w:rPr>
              <w:t>0</w:t>
            </w:r>
          </w:p>
        </w:tc>
        <w:tc>
          <w:tcPr>
            <w:tcW w:w="1152" w:type="dxa"/>
          </w:tcPr>
          <w:p w14:paraId="601A77C2" w14:textId="77777777" w:rsidR="00DC44BD" w:rsidRDefault="00000000">
            <w:pPr>
              <w:jc w:val="center"/>
            </w:pPr>
            <w:r>
              <w:rPr>
                <w:sz w:val="18"/>
              </w:rPr>
              <w:t>79.43</w:t>
            </w:r>
          </w:p>
        </w:tc>
        <w:tc>
          <w:tcPr>
            <w:tcW w:w="1152" w:type="dxa"/>
          </w:tcPr>
          <w:p w14:paraId="7271322D" w14:textId="77777777" w:rsidR="00DC44BD" w:rsidRDefault="00000000">
            <w:pPr>
              <w:jc w:val="center"/>
            </w:pPr>
            <w:r>
              <w:rPr>
                <w:sz w:val="18"/>
              </w:rPr>
              <w:t>74.33</w:t>
            </w:r>
          </w:p>
        </w:tc>
        <w:tc>
          <w:tcPr>
            <w:tcW w:w="1008" w:type="dxa"/>
          </w:tcPr>
          <w:p w14:paraId="7B9EED58" w14:textId="77777777" w:rsidR="00DC44BD" w:rsidRDefault="00000000">
            <w:pPr>
              <w:jc w:val="center"/>
            </w:pPr>
            <w:r>
              <w:rPr>
                <w:sz w:val="18"/>
              </w:rPr>
              <w:t>6.57</w:t>
            </w:r>
          </w:p>
        </w:tc>
        <w:tc>
          <w:tcPr>
            <w:tcW w:w="1152" w:type="dxa"/>
          </w:tcPr>
          <w:p w14:paraId="1B0432B2" w14:textId="77777777" w:rsidR="00DC44BD" w:rsidRDefault="00000000">
            <w:pPr>
              <w:jc w:val="center"/>
            </w:pPr>
            <w:r>
              <w:rPr>
                <w:sz w:val="18"/>
              </w:rPr>
              <w:t>18.9</w:t>
            </w:r>
          </w:p>
        </w:tc>
      </w:tr>
      <w:tr w:rsidR="00DC44BD" w14:paraId="160B9A57" w14:textId="77777777">
        <w:trPr>
          <w:jc w:val="center"/>
        </w:trPr>
        <w:tc>
          <w:tcPr>
            <w:tcW w:w="1872" w:type="dxa"/>
          </w:tcPr>
          <w:p w14:paraId="6F8A4517" w14:textId="77777777" w:rsidR="00DC44BD" w:rsidRDefault="00000000">
            <w:pPr>
              <w:jc w:val="center"/>
            </w:pPr>
            <w:r>
              <w:rPr>
                <w:sz w:val="18"/>
              </w:rPr>
              <w:t>Channel Aug.</w:t>
            </w:r>
          </w:p>
        </w:tc>
        <w:tc>
          <w:tcPr>
            <w:tcW w:w="720" w:type="dxa"/>
          </w:tcPr>
          <w:p w14:paraId="26897686" w14:textId="77777777" w:rsidR="00DC44BD" w:rsidRDefault="00000000">
            <w:pPr>
              <w:jc w:val="center"/>
            </w:pPr>
            <w:r>
              <w:rPr>
                <w:sz w:val="18"/>
              </w:rPr>
              <w:t>10</w:t>
            </w:r>
          </w:p>
        </w:tc>
        <w:tc>
          <w:tcPr>
            <w:tcW w:w="1152" w:type="dxa"/>
          </w:tcPr>
          <w:p w14:paraId="0294AD34" w14:textId="77777777" w:rsidR="00DC44BD" w:rsidRDefault="00000000">
            <w:pPr>
              <w:jc w:val="center"/>
            </w:pPr>
            <w:r>
              <w:rPr>
                <w:sz w:val="18"/>
              </w:rPr>
              <w:t>82.19</w:t>
            </w:r>
          </w:p>
        </w:tc>
        <w:tc>
          <w:tcPr>
            <w:tcW w:w="1152" w:type="dxa"/>
          </w:tcPr>
          <w:p w14:paraId="1CC5520D" w14:textId="77777777" w:rsidR="00DC44BD" w:rsidRDefault="00000000">
            <w:pPr>
              <w:jc w:val="center"/>
            </w:pPr>
            <w:r>
              <w:rPr>
                <w:sz w:val="18"/>
              </w:rPr>
              <w:t>80.93</w:t>
            </w:r>
          </w:p>
        </w:tc>
        <w:tc>
          <w:tcPr>
            <w:tcW w:w="1008" w:type="dxa"/>
          </w:tcPr>
          <w:p w14:paraId="58E96C01" w14:textId="77777777" w:rsidR="00DC44BD" w:rsidRDefault="00000000">
            <w:pPr>
              <w:jc w:val="center"/>
            </w:pPr>
            <w:r>
              <w:rPr>
                <w:sz w:val="18"/>
              </w:rPr>
              <w:t>1.67</w:t>
            </w:r>
          </w:p>
        </w:tc>
        <w:tc>
          <w:tcPr>
            <w:tcW w:w="1152" w:type="dxa"/>
          </w:tcPr>
          <w:p w14:paraId="0DE14473" w14:textId="77777777" w:rsidR="00DC44BD" w:rsidRDefault="00000000">
            <w:pPr>
              <w:jc w:val="center"/>
            </w:pPr>
            <w:r>
              <w:rPr>
                <w:sz w:val="18"/>
              </w:rPr>
              <w:t>18.9</w:t>
            </w:r>
          </w:p>
        </w:tc>
      </w:tr>
      <w:tr w:rsidR="00DC44BD" w14:paraId="657C3EE3" w14:textId="77777777">
        <w:trPr>
          <w:jc w:val="center"/>
        </w:trPr>
        <w:tc>
          <w:tcPr>
            <w:tcW w:w="1872" w:type="dxa"/>
          </w:tcPr>
          <w:p w14:paraId="562CB5AD" w14:textId="77777777" w:rsidR="00DC44BD" w:rsidRDefault="00000000">
            <w:pPr>
              <w:jc w:val="center"/>
            </w:pPr>
            <w:r>
              <w:rPr>
                <w:sz w:val="18"/>
              </w:rPr>
              <w:t>Adv.+Chan. Aug.</w:t>
            </w:r>
          </w:p>
        </w:tc>
        <w:tc>
          <w:tcPr>
            <w:tcW w:w="720" w:type="dxa"/>
          </w:tcPr>
          <w:p w14:paraId="0C427EEC" w14:textId="77777777" w:rsidR="00DC44BD" w:rsidRDefault="00000000">
            <w:pPr>
              <w:jc w:val="center"/>
            </w:pPr>
            <w:r>
              <w:rPr>
                <w:sz w:val="18"/>
              </w:rPr>
              <w:t>0</w:t>
            </w:r>
          </w:p>
        </w:tc>
        <w:tc>
          <w:tcPr>
            <w:tcW w:w="1152" w:type="dxa"/>
          </w:tcPr>
          <w:p w14:paraId="6E0BEBBD" w14:textId="77777777" w:rsidR="00DC44BD" w:rsidRDefault="00000000">
            <w:pPr>
              <w:jc w:val="center"/>
            </w:pPr>
            <w:r>
              <w:rPr>
                <w:sz w:val="18"/>
              </w:rPr>
              <w:t>80.22</w:t>
            </w:r>
          </w:p>
        </w:tc>
        <w:tc>
          <w:tcPr>
            <w:tcW w:w="1152" w:type="dxa"/>
          </w:tcPr>
          <w:p w14:paraId="5A5FA0DA" w14:textId="77777777" w:rsidR="00DC44BD" w:rsidRDefault="00000000">
            <w:pPr>
              <w:jc w:val="center"/>
            </w:pPr>
            <w:r>
              <w:rPr>
                <w:sz w:val="18"/>
              </w:rPr>
              <w:t>75.85</w:t>
            </w:r>
          </w:p>
        </w:tc>
        <w:tc>
          <w:tcPr>
            <w:tcW w:w="1008" w:type="dxa"/>
          </w:tcPr>
          <w:p w14:paraId="21AABA51" w14:textId="77777777" w:rsidR="00DC44BD" w:rsidRDefault="00000000">
            <w:pPr>
              <w:jc w:val="center"/>
            </w:pPr>
            <w:r>
              <w:rPr>
                <w:sz w:val="18"/>
              </w:rPr>
              <w:t>5.45</w:t>
            </w:r>
          </w:p>
        </w:tc>
        <w:tc>
          <w:tcPr>
            <w:tcW w:w="1152" w:type="dxa"/>
          </w:tcPr>
          <w:p w14:paraId="2DBA7737" w14:textId="77777777" w:rsidR="00DC44BD" w:rsidRDefault="00000000">
            <w:pPr>
              <w:jc w:val="center"/>
            </w:pPr>
            <w:r>
              <w:rPr>
                <w:sz w:val="18"/>
              </w:rPr>
              <w:t>105.1</w:t>
            </w:r>
          </w:p>
        </w:tc>
      </w:tr>
      <w:tr w:rsidR="00DC44BD" w14:paraId="17681917" w14:textId="77777777">
        <w:trPr>
          <w:jc w:val="center"/>
        </w:trPr>
        <w:tc>
          <w:tcPr>
            <w:tcW w:w="1872" w:type="dxa"/>
          </w:tcPr>
          <w:p w14:paraId="6A85765C" w14:textId="77777777" w:rsidR="00DC44BD" w:rsidRDefault="00000000">
            <w:pPr>
              <w:jc w:val="center"/>
            </w:pPr>
            <w:r>
              <w:rPr>
                <w:sz w:val="18"/>
              </w:rPr>
              <w:t>Adv.+Chan. Aug.</w:t>
            </w:r>
          </w:p>
        </w:tc>
        <w:tc>
          <w:tcPr>
            <w:tcW w:w="720" w:type="dxa"/>
          </w:tcPr>
          <w:p w14:paraId="1D1A96D8" w14:textId="77777777" w:rsidR="00DC44BD" w:rsidRDefault="00000000">
            <w:pPr>
              <w:jc w:val="center"/>
            </w:pPr>
            <w:r>
              <w:rPr>
                <w:sz w:val="18"/>
              </w:rPr>
              <w:t>10</w:t>
            </w:r>
          </w:p>
        </w:tc>
        <w:tc>
          <w:tcPr>
            <w:tcW w:w="1152" w:type="dxa"/>
          </w:tcPr>
          <w:p w14:paraId="201993C5" w14:textId="77777777" w:rsidR="00DC44BD" w:rsidRDefault="00000000">
            <w:pPr>
              <w:jc w:val="center"/>
            </w:pPr>
            <w:r>
              <w:rPr>
                <w:sz w:val="18"/>
              </w:rPr>
              <w:t>82.85</w:t>
            </w:r>
          </w:p>
        </w:tc>
        <w:tc>
          <w:tcPr>
            <w:tcW w:w="1152" w:type="dxa"/>
          </w:tcPr>
          <w:p w14:paraId="1046A1FE" w14:textId="77777777" w:rsidR="00DC44BD" w:rsidRDefault="00000000">
            <w:pPr>
              <w:jc w:val="center"/>
            </w:pPr>
            <w:r>
              <w:rPr>
                <w:sz w:val="18"/>
              </w:rPr>
              <w:t>81.77</w:t>
            </w:r>
          </w:p>
        </w:tc>
        <w:tc>
          <w:tcPr>
            <w:tcW w:w="1008" w:type="dxa"/>
          </w:tcPr>
          <w:p w14:paraId="00C1544F" w14:textId="77777777" w:rsidR="00DC44BD" w:rsidRDefault="00000000">
            <w:pPr>
              <w:jc w:val="center"/>
            </w:pPr>
            <w:r>
              <w:rPr>
                <w:sz w:val="18"/>
              </w:rPr>
              <w:t>1.30</w:t>
            </w:r>
          </w:p>
        </w:tc>
        <w:tc>
          <w:tcPr>
            <w:tcW w:w="1152" w:type="dxa"/>
          </w:tcPr>
          <w:p w14:paraId="13CC15AC" w14:textId="77777777" w:rsidR="00DC44BD" w:rsidRDefault="00000000">
            <w:pPr>
              <w:jc w:val="center"/>
            </w:pPr>
            <w:r>
              <w:rPr>
                <w:sz w:val="18"/>
              </w:rPr>
              <w:t>105.1</w:t>
            </w:r>
          </w:p>
        </w:tc>
      </w:tr>
      <w:tr w:rsidR="00DC44BD" w14:paraId="00DBCA53" w14:textId="77777777">
        <w:trPr>
          <w:jc w:val="center"/>
        </w:trPr>
        <w:tc>
          <w:tcPr>
            <w:tcW w:w="1872" w:type="dxa"/>
          </w:tcPr>
          <w:p w14:paraId="0F974FC7" w14:textId="77777777" w:rsidR="00DC44BD" w:rsidRDefault="00000000">
            <w:pPr>
              <w:jc w:val="center"/>
            </w:pPr>
            <w:r>
              <w:rPr>
                <w:sz w:val="18"/>
              </w:rPr>
              <w:t>Noise+Chan. Aug.</w:t>
            </w:r>
          </w:p>
        </w:tc>
        <w:tc>
          <w:tcPr>
            <w:tcW w:w="720" w:type="dxa"/>
          </w:tcPr>
          <w:p w14:paraId="3ADC3AE8" w14:textId="77777777" w:rsidR="00DC44BD" w:rsidRDefault="00000000">
            <w:pPr>
              <w:jc w:val="center"/>
            </w:pPr>
            <w:r>
              <w:rPr>
                <w:sz w:val="18"/>
              </w:rPr>
              <w:t>0</w:t>
            </w:r>
          </w:p>
        </w:tc>
        <w:tc>
          <w:tcPr>
            <w:tcW w:w="1152" w:type="dxa"/>
          </w:tcPr>
          <w:p w14:paraId="2DCC9B8E" w14:textId="77777777" w:rsidR="00DC44BD" w:rsidRDefault="00000000">
            <w:pPr>
              <w:jc w:val="center"/>
            </w:pPr>
            <w:r>
              <w:rPr>
                <w:sz w:val="18"/>
              </w:rPr>
              <w:t>37.50</w:t>
            </w:r>
          </w:p>
        </w:tc>
        <w:tc>
          <w:tcPr>
            <w:tcW w:w="1152" w:type="dxa"/>
          </w:tcPr>
          <w:p w14:paraId="1D785A79" w14:textId="77777777" w:rsidR="00DC44BD" w:rsidRDefault="00000000">
            <w:pPr>
              <w:jc w:val="center"/>
            </w:pPr>
            <w:r>
              <w:rPr>
                <w:sz w:val="18"/>
              </w:rPr>
              <w:t>36.71</w:t>
            </w:r>
          </w:p>
        </w:tc>
        <w:tc>
          <w:tcPr>
            <w:tcW w:w="1008" w:type="dxa"/>
          </w:tcPr>
          <w:p w14:paraId="2D339D2A" w14:textId="77777777" w:rsidR="00DC44BD" w:rsidRDefault="00000000">
            <w:pPr>
              <w:jc w:val="center"/>
            </w:pPr>
            <w:r>
              <w:rPr>
                <w:sz w:val="18"/>
              </w:rPr>
              <w:t>2.27</w:t>
            </w:r>
          </w:p>
        </w:tc>
        <w:tc>
          <w:tcPr>
            <w:tcW w:w="1152" w:type="dxa"/>
          </w:tcPr>
          <w:p w14:paraId="3021197E" w14:textId="77777777" w:rsidR="00DC44BD" w:rsidRDefault="00000000">
            <w:pPr>
              <w:jc w:val="center"/>
            </w:pPr>
            <w:r>
              <w:rPr>
                <w:sz w:val="18"/>
              </w:rPr>
              <w:t>18.8</w:t>
            </w:r>
          </w:p>
        </w:tc>
      </w:tr>
      <w:tr w:rsidR="00DC44BD" w14:paraId="4ECB4AFC" w14:textId="77777777">
        <w:trPr>
          <w:jc w:val="center"/>
        </w:trPr>
        <w:tc>
          <w:tcPr>
            <w:tcW w:w="1872" w:type="dxa"/>
          </w:tcPr>
          <w:p w14:paraId="0AED7393" w14:textId="77777777" w:rsidR="00DC44BD" w:rsidRDefault="00000000">
            <w:pPr>
              <w:jc w:val="center"/>
            </w:pPr>
            <w:r>
              <w:rPr>
                <w:sz w:val="18"/>
              </w:rPr>
              <w:t>Noise+Chan. Aug.</w:t>
            </w:r>
          </w:p>
        </w:tc>
        <w:tc>
          <w:tcPr>
            <w:tcW w:w="720" w:type="dxa"/>
          </w:tcPr>
          <w:p w14:paraId="52778254" w14:textId="77777777" w:rsidR="00DC44BD" w:rsidRDefault="00000000">
            <w:pPr>
              <w:jc w:val="center"/>
            </w:pPr>
            <w:r>
              <w:rPr>
                <w:sz w:val="18"/>
              </w:rPr>
              <w:t>10</w:t>
            </w:r>
          </w:p>
        </w:tc>
        <w:tc>
          <w:tcPr>
            <w:tcW w:w="1152" w:type="dxa"/>
          </w:tcPr>
          <w:p w14:paraId="4DCFB123" w14:textId="77777777" w:rsidR="00DC44BD" w:rsidRDefault="00000000">
            <w:pPr>
              <w:jc w:val="center"/>
            </w:pPr>
            <w:r>
              <w:rPr>
                <w:sz w:val="18"/>
              </w:rPr>
              <w:t>39.81</w:t>
            </w:r>
          </w:p>
        </w:tc>
        <w:tc>
          <w:tcPr>
            <w:tcW w:w="1152" w:type="dxa"/>
          </w:tcPr>
          <w:p w14:paraId="33CB5B11" w14:textId="77777777" w:rsidR="00DC44BD" w:rsidRDefault="00000000">
            <w:pPr>
              <w:jc w:val="center"/>
            </w:pPr>
            <w:r>
              <w:rPr>
                <w:sz w:val="18"/>
              </w:rPr>
              <w:t>39.21</w:t>
            </w:r>
          </w:p>
        </w:tc>
        <w:tc>
          <w:tcPr>
            <w:tcW w:w="1008" w:type="dxa"/>
          </w:tcPr>
          <w:p w14:paraId="1B715C5E" w14:textId="77777777" w:rsidR="00DC44BD" w:rsidRDefault="00000000">
            <w:pPr>
              <w:jc w:val="center"/>
            </w:pPr>
            <w:r>
              <w:rPr>
                <w:sz w:val="18"/>
              </w:rPr>
              <w:t>1.65</w:t>
            </w:r>
          </w:p>
        </w:tc>
        <w:tc>
          <w:tcPr>
            <w:tcW w:w="1152" w:type="dxa"/>
          </w:tcPr>
          <w:p w14:paraId="66F136AC" w14:textId="77777777" w:rsidR="00DC44BD" w:rsidRDefault="00000000">
            <w:pPr>
              <w:jc w:val="center"/>
            </w:pPr>
            <w:r>
              <w:rPr>
                <w:sz w:val="18"/>
              </w:rPr>
              <w:t>18.8</w:t>
            </w:r>
          </w:p>
        </w:tc>
      </w:tr>
    </w:tbl>
    <w:p w14:paraId="680891F7" w14:textId="77777777" w:rsidR="00DC44BD" w:rsidRDefault="00DC44BD"/>
    <w:p w14:paraId="2BD4AA91" w14:textId="77777777" w:rsidR="00DC44BD" w:rsidRDefault="00000000">
      <w:pPr>
        <w:jc w:val="center"/>
      </w:pPr>
      <w:r>
        <w:rPr>
          <w:b/>
          <w:sz w:val="18"/>
        </w:rPr>
        <w:t>Table 3: Defense Comparison: RadioML 2018.01a (AWGN, PGD ρ = 1%)</w:t>
      </w:r>
    </w:p>
    <w:tbl>
      <w:tblPr>
        <w:tblW w:w="0" w:type="auto"/>
        <w:jc w:val="center"/>
        <w:tblLook w:val="04A0" w:firstRow="1" w:lastRow="0" w:firstColumn="1" w:lastColumn="0" w:noHBand="0" w:noVBand="1"/>
      </w:tblPr>
      <w:tblGrid>
        <w:gridCol w:w="1872"/>
        <w:gridCol w:w="720"/>
        <w:gridCol w:w="1152"/>
        <w:gridCol w:w="1152"/>
        <w:gridCol w:w="1008"/>
        <w:gridCol w:w="1152"/>
      </w:tblGrid>
      <w:tr w:rsidR="00DC44BD" w14:paraId="6748078C" w14:textId="77777777">
        <w:trPr>
          <w:jc w:val="center"/>
        </w:trPr>
        <w:tc>
          <w:tcPr>
            <w:tcW w:w="1872" w:type="dxa"/>
            <w:shd w:val="clear" w:color="auto" w:fill="D9E2F3"/>
          </w:tcPr>
          <w:p w14:paraId="18A03D7E" w14:textId="77777777" w:rsidR="00DC44BD" w:rsidRDefault="00000000">
            <w:pPr>
              <w:jc w:val="center"/>
            </w:pPr>
            <w:r>
              <w:rPr>
                <w:b/>
                <w:sz w:val="18"/>
              </w:rPr>
              <w:t>Defense</w:t>
            </w:r>
          </w:p>
        </w:tc>
        <w:tc>
          <w:tcPr>
            <w:tcW w:w="720" w:type="dxa"/>
            <w:shd w:val="clear" w:color="auto" w:fill="D9E2F3"/>
          </w:tcPr>
          <w:p w14:paraId="5663C2D2" w14:textId="77777777" w:rsidR="00DC44BD" w:rsidRDefault="00000000">
            <w:pPr>
              <w:jc w:val="center"/>
            </w:pPr>
            <w:r>
              <w:rPr>
                <w:b/>
                <w:sz w:val="18"/>
              </w:rPr>
              <w:t>SNR</w:t>
            </w:r>
          </w:p>
        </w:tc>
        <w:tc>
          <w:tcPr>
            <w:tcW w:w="1152" w:type="dxa"/>
            <w:shd w:val="clear" w:color="auto" w:fill="D9E2F3"/>
          </w:tcPr>
          <w:p w14:paraId="4C35C708" w14:textId="77777777" w:rsidR="00DC44BD" w:rsidRDefault="00000000">
            <w:pPr>
              <w:jc w:val="center"/>
            </w:pPr>
            <w:r>
              <w:rPr>
                <w:b/>
                <w:sz w:val="18"/>
              </w:rPr>
              <w:t>Clean (%)</w:t>
            </w:r>
          </w:p>
        </w:tc>
        <w:tc>
          <w:tcPr>
            <w:tcW w:w="1152" w:type="dxa"/>
            <w:shd w:val="clear" w:color="auto" w:fill="D9E2F3"/>
          </w:tcPr>
          <w:p w14:paraId="46216874" w14:textId="77777777" w:rsidR="00DC44BD" w:rsidRDefault="00000000">
            <w:pPr>
              <w:jc w:val="center"/>
            </w:pPr>
            <w:r>
              <w:rPr>
                <w:b/>
                <w:sz w:val="18"/>
              </w:rPr>
              <w:t>Robust (%)</w:t>
            </w:r>
          </w:p>
        </w:tc>
        <w:tc>
          <w:tcPr>
            <w:tcW w:w="1008" w:type="dxa"/>
            <w:shd w:val="clear" w:color="auto" w:fill="D9E2F3"/>
          </w:tcPr>
          <w:p w14:paraId="0AB10F39" w14:textId="77777777" w:rsidR="00DC44BD" w:rsidRDefault="00000000">
            <w:pPr>
              <w:jc w:val="center"/>
            </w:pPr>
            <w:r>
              <w:rPr>
                <w:b/>
                <w:sz w:val="18"/>
              </w:rPr>
              <w:t>ASR (%)</w:t>
            </w:r>
          </w:p>
        </w:tc>
        <w:tc>
          <w:tcPr>
            <w:tcW w:w="1152" w:type="dxa"/>
            <w:shd w:val="clear" w:color="auto" w:fill="D9E2F3"/>
          </w:tcPr>
          <w:p w14:paraId="45A1B275" w14:textId="77777777" w:rsidR="00DC44BD" w:rsidRDefault="00000000">
            <w:pPr>
              <w:jc w:val="center"/>
            </w:pPr>
            <w:r>
              <w:rPr>
                <w:b/>
                <w:sz w:val="18"/>
              </w:rPr>
              <w:t>Time (min)</w:t>
            </w:r>
          </w:p>
        </w:tc>
      </w:tr>
      <w:tr w:rsidR="00DC44BD" w14:paraId="0EBD1D8D" w14:textId="77777777">
        <w:trPr>
          <w:jc w:val="center"/>
        </w:trPr>
        <w:tc>
          <w:tcPr>
            <w:tcW w:w="1872" w:type="dxa"/>
          </w:tcPr>
          <w:p w14:paraId="515665EB" w14:textId="77777777" w:rsidR="00DC44BD" w:rsidRDefault="00000000">
            <w:pPr>
              <w:jc w:val="center"/>
            </w:pPr>
            <w:r>
              <w:rPr>
                <w:sz w:val="18"/>
              </w:rPr>
              <w:t>Baseline</w:t>
            </w:r>
          </w:p>
        </w:tc>
        <w:tc>
          <w:tcPr>
            <w:tcW w:w="720" w:type="dxa"/>
          </w:tcPr>
          <w:p w14:paraId="7A90BCF6" w14:textId="77777777" w:rsidR="00DC44BD" w:rsidRDefault="00000000">
            <w:pPr>
              <w:jc w:val="center"/>
            </w:pPr>
            <w:r>
              <w:rPr>
                <w:sz w:val="18"/>
              </w:rPr>
              <w:t>0</w:t>
            </w:r>
          </w:p>
        </w:tc>
        <w:tc>
          <w:tcPr>
            <w:tcW w:w="1152" w:type="dxa"/>
          </w:tcPr>
          <w:p w14:paraId="1DAE2C58" w14:textId="77777777" w:rsidR="00DC44BD" w:rsidRDefault="00000000">
            <w:pPr>
              <w:jc w:val="center"/>
            </w:pPr>
            <w:r>
              <w:rPr>
                <w:sz w:val="18"/>
              </w:rPr>
              <w:t>54.17</w:t>
            </w:r>
          </w:p>
        </w:tc>
        <w:tc>
          <w:tcPr>
            <w:tcW w:w="1152" w:type="dxa"/>
          </w:tcPr>
          <w:p w14:paraId="3DE7F2ED" w14:textId="77777777" w:rsidR="00DC44BD" w:rsidRDefault="00000000">
            <w:pPr>
              <w:jc w:val="center"/>
            </w:pPr>
            <w:r>
              <w:rPr>
                <w:sz w:val="18"/>
              </w:rPr>
              <w:t>35.02</w:t>
            </w:r>
          </w:p>
        </w:tc>
        <w:tc>
          <w:tcPr>
            <w:tcW w:w="1008" w:type="dxa"/>
          </w:tcPr>
          <w:p w14:paraId="065F4877" w14:textId="77777777" w:rsidR="00DC44BD" w:rsidRDefault="00000000">
            <w:pPr>
              <w:jc w:val="center"/>
            </w:pPr>
            <w:r>
              <w:rPr>
                <w:sz w:val="18"/>
              </w:rPr>
              <w:t>35.49</w:t>
            </w:r>
          </w:p>
        </w:tc>
        <w:tc>
          <w:tcPr>
            <w:tcW w:w="1152" w:type="dxa"/>
          </w:tcPr>
          <w:p w14:paraId="106BB2F5" w14:textId="77777777" w:rsidR="00DC44BD" w:rsidRDefault="00000000">
            <w:pPr>
              <w:jc w:val="center"/>
            </w:pPr>
            <w:r>
              <w:rPr>
                <w:sz w:val="18"/>
              </w:rPr>
              <w:t>—</w:t>
            </w:r>
          </w:p>
        </w:tc>
      </w:tr>
      <w:tr w:rsidR="00DC44BD" w14:paraId="53AD8C31" w14:textId="77777777">
        <w:trPr>
          <w:jc w:val="center"/>
        </w:trPr>
        <w:tc>
          <w:tcPr>
            <w:tcW w:w="1872" w:type="dxa"/>
          </w:tcPr>
          <w:p w14:paraId="082354B6" w14:textId="77777777" w:rsidR="00DC44BD" w:rsidRDefault="00000000">
            <w:pPr>
              <w:jc w:val="center"/>
            </w:pPr>
            <w:r>
              <w:rPr>
                <w:sz w:val="18"/>
              </w:rPr>
              <w:t>Baseline</w:t>
            </w:r>
          </w:p>
        </w:tc>
        <w:tc>
          <w:tcPr>
            <w:tcW w:w="720" w:type="dxa"/>
          </w:tcPr>
          <w:p w14:paraId="4E757D38" w14:textId="77777777" w:rsidR="00DC44BD" w:rsidRDefault="00000000">
            <w:pPr>
              <w:jc w:val="center"/>
            </w:pPr>
            <w:r>
              <w:rPr>
                <w:sz w:val="18"/>
              </w:rPr>
              <w:t>10</w:t>
            </w:r>
          </w:p>
        </w:tc>
        <w:tc>
          <w:tcPr>
            <w:tcW w:w="1152" w:type="dxa"/>
          </w:tcPr>
          <w:p w14:paraId="0C51A28A" w14:textId="77777777" w:rsidR="00DC44BD" w:rsidRDefault="00000000">
            <w:pPr>
              <w:jc w:val="center"/>
            </w:pPr>
            <w:r>
              <w:rPr>
                <w:sz w:val="18"/>
              </w:rPr>
              <w:t>90.72</w:t>
            </w:r>
          </w:p>
        </w:tc>
        <w:tc>
          <w:tcPr>
            <w:tcW w:w="1152" w:type="dxa"/>
          </w:tcPr>
          <w:p w14:paraId="32D54FC4" w14:textId="77777777" w:rsidR="00DC44BD" w:rsidRDefault="00000000">
            <w:pPr>
              <w:jc w:val="center"/>
            </w:pPr>
            <w:r>
              <w:rPr>
                <w:sz w:val="18"/>
              </w:rPr>
              <w:t>62.71</w:t>
            </w:r>
          </w:p>
        </w:tc>
        <w:tc>
          <w:tcPr>
            <w:tcW w:w="1008" w:type="dxa"/>
          </w:tcPr>
          <w:p w14:paraId="3C61DE8E" w14:textId="77777777" w:rsidR="00DC44BD" w:rsidRDefault="00000000">
            <w:pPr>
              <w:jc w:val="center"/>
            </w:pPr>
            <w:r>
              <w:rPr>
                <w:sz w:val="18"/>
              </w:rPr>
              <w:t>30.87</w:t>
            </w:r>
          </w:p>
        </w:tc>
        <w:tc>
          <w:tcPr>
            <w:tcW w:w="1152" w:type="dxa"/>
          </w:tcPr>
          <w:p w14:paraId="11A3CAF3" w14:textId="77777777" w:rsidR="00DC44BD" w:rsidRDefault="00000000">
            <w:pPr>
              <w:jc w:val="center"/>
            </w:pPr>
            <w:r>
              <w:rPr>
                <w:sz w:val="18"/>
              </w:rPr>
              <w:t>—</w:t>
            </w:r>
          </w:p>
        </w:tc>
      </w:tr>
      <w:tr w:rsidR="00DC44BD" w14:paraId="258BA23C" w14:textId="77777777">
        <w:trPr>
          <w:jc w:val="center"/>
        </w:trPr>
        <w:tc>
          <w:tcPr>
            <w:tcW w:w="1872" w:type="dxa"/>
          </w:tcPr>
          <w:p w14:paraId="43E80B51" w14:textId="77777777" w:rsidR="00DC44BD" w:rsidRDefault="00000000">
            <w:pPr>
              <w:jc w:val="center"/>
            </w:pPr>
            <w:r>
              <w:rPr>
                <w:sz w:val="18"/>
              </w:rPr>
              <w:t>Adv. Training</w:t>
            </w:r>
          </w:p>
        </w:tc>
        <w:tc>
          <w:tcPr>
            <w:tcW w:w="720" w:type="dxa"/>
          </w:tcPr>
          <w:p w14:paraId="38070243" w14:textId="77777777" w:rsidR="00DC44BD" w:rsidRDefault="00000000">
            <w:pPr>
              <w:jc w:val="center"/>
            </w:pPr>
            <w:r>
              <w:rPr>
                <w:sz w:val="18"/>
              </w:rPr>
              <w:t>0</w:t>
            </w:r>
          </w:p>
        </w:tc>
        <w:tc>
          <w:tcPr>
            <w:tcW w:w="1152" w:type="dxa"/>
          </w:tcPr>
          <w:p w14:paraId="7FEE8406" w14:textId="77777777" w:rsidR="00DC44BD" w:rsidRDefault="00000000">
            <w:pPr>
              <w:jc w:val="center"/>
            </w:pPr>
            <w:r>
              <w:rPr>
                <w:sz w:val="18"/>
              </w:rPr>
              <w:t>51.68</w:t>
            </w:r>
          </w:p>
        </w:tc>
        <w:tc>
          <w:tcPr>
            <w:tcW w:w="1152" w:type="dxa"/>
          </w:tcPr>
          <w:p w14:paraId="7C4BE984" w14:textId="77777777" w:rsidR="00DC44BD" w:rsidRDefault="00000000">
            <w:pPr>
              <w:jc w:val="center"/>
            </w:pPr>
            <w:r>
              <w:rPr>
                <w:sz w:val="18"/>
              </w:rPr>
              <w:t>37.69</w:t>
            </w:r>
          </w:p>
        </w:tc>
        <w:tc>
          <w:tcPr>
            <w:tcW w:w="1008" w:type="dxa"/>
          </w:tcPr>
          <w:p w14:paraId="074A593A" w14:textId="77777777" w:rsidR="00DC44BD" w:rsidRDefault="00000000">
            <w:pPr>
              <w:jc w:val="center"/>
            </w:pPr>
            <w:r>
              <w:rPr>
                <w:sz w:val="18"/>
              </w:rPr>
              <w:t>27.79</w:t>
            </w:r>
          </w:p>
        </w:tc>
        <w:tc>
          <w:tcPr>
            <w:tcW w:w="1152" w:type="dxa"/>
          </w:tcPr>
          <w:p w14:paraId="4A4DCBAE" w14:textId="77777777" w:rsidR="00DC44BD" w:rsidRDefault="00000000">
            <w:pPr>
              <w:jc w:val="center"/>
            </w:pPr>
            <w:r>
              <w:rPr>
                <w:sz w:val="18"/>
              </w:rPr>
              <w:t>411.0</w:t>
            </w:r>
          </w:p>
        </w:tc>
      </w:tr>
      <w:tr w:rsidR="00DC44BD" w14:paraId="3AF7D08C" w14:textId="77777777">
        <w:trPr>
          <w:jc w:val="center"/>
        </w:trPr>
        <w:tc>
          <w:tcPr>
            <w:tcW w:w="1872" w:type="dxa"/>
          </w:tcPr>
          <w:p w14:paraId="78DBB155" w14:textId="77777777" w:rsidR="00DC44BD" w:rsidRDefault="00000000">
            <w:pPr>
              <w:jc w:val="center"/>
            </w:pPr>
            <w:r>
              <w:rPr>
                <w:sz w:val="18"/>
              </w:rPr>
              <w:t>Adv. Training</w:t>
            </w:r>
          </w:p>
        </w:tc>
        <w:tc>
          <w:tcPr>
            <w:tcW w:w="720" w:type="dxa"/>
          </w:tcPr>
          <w:p w14:paraId="1F2F0C68" w14:textId="77777777" w:rsidR="00DC44BD" w:rsidRDefault="00000000">
            <w:pPr>
              <w:jc w:val="center"/>
            </w:pPr>
            <w:r>
              <w:rPr>
                <w:sz w:val="18"/>
              </w:rPr>
              <w:t>10</w:t>
            </w:r>
          </w:p>
        </w:tc>
        <w:tc>
          <w:tcPr>
            <w:tcW w:w="1152" w:type="dxa"/>
          </w:tcPr>
          <w:p w14:paraId="6AFBB54A" w14:textId="77777777" w:rsidR="00DC44BD" w:rsidRDefault="00000000">
            <w:pPr>
              <w:jc w:val="center"/>
            </w:pPr>
            <w:r>
              <w:rPr>
                <w:sz w:val="18"/>
              </w:rPr>
              <w:t>86.07</w:t>
            </w:r>
          </w:p>
        </w:tc>
        <w:tc>
          <w:tcPr>
            <w:tcW w:w="1152" w:type="dxa"/>
          </w:tcPr>
          <w:p w14:paraId="5566CAF9" w14:textId="77777777" w:rsidR="00DC44BD" w:rsidRDefault="00000000">
            <w:pPr>
              <w:jc w:val="center"/>
            </w:pPr>
            <w:r>
              <w:rPr>
                <w:sz w:val="18"/>
              </w:rPr>
              <w:t>63.76</w:t>
            </w:r>
          </w:p>
        </w:tc>
        <w:tc>
          <w:tcPr>
            <w:tcW w:w="1008" w:type="dxa"/>
          </w:tcPr>
          <w:p w14:paraId="63858C4B" w14:textId="77777777" w:rsidR="00DC44BD" w:rsidRDefault="00000000">
            <w:pPr>
              <w:jc w:val="center"/>
            </w:pPr>
            <w:r>
              <w:rPr>
                <w:sz w:val="18"/>
              </w:rPr>
              <w:t>25.92</w:t>
            </w:r>
          </w:p>
        </w:tc>
        <w:tc>
          <w:tcPr>
            <w:tcW w:w="1152" w:type="dxa"/>
          </w:tcPr>
          <w:p w14:paraId="15641149" w14:textId="77777777" w:rsidR="00DC44BD" w:rsidRDefault="00000000">
            <w:pPr>
              <w:jc w:val="center"/>
            </w:pPr>
            <w:r>
              <w:rPr>
                <w:sz w:val="18"/>
              </w:rPr>
              <w:t>411.0</w:t>
            </w:r>
          </w:p>
        </w:tc>
      </w:tr>
      <w:tr w:rsidR="00DC44BD" w14:paraId="3DE4F5C9" w14:textId="77777777">
        <w:trPr>
          <w:jc w:val="center"/>
        </w:trPr>
        <w:tc>
          <w:tcPr>
            <w:tcW w:w="1872" w:type="dxa"/>
          </w:tcPr>
          <w:p w14:paraId="50085915" w14:textId="77777777" w:rsidR="00DC44BD" w:rsidRDefault="00000000">
            <w:pPr>
              <w:jc w:val="center"/>
            </w:pPr>
            <w:r>
              <w:rPr>
                <w:sz w:val="18"/>
              </w:rPr>
              <w:t>Noise Injection</w:t>
            </w:r>
          </w:p>
        </w:tc>
        <w:tc>
          <w:tcPr>
            <w:tcW w:w="720" w:type="dxa"/>
          </w:tcPr>
          <w:p w14:paraId="6B4E6CBE" w14:textId="77777777" w:rsidR="00DC44BD" w:rsidRDefault="00000000">
            <w:pPr>
              <w:jc w:val="center"/>
            </w:pPr>
            <w:r>
              <w:rPr>
                <w:sz w:val="18"/>
              </w:rPr>
              <w:t>0</w:t>
            </w:r>
          </w:p>
        </w:tc>
        <w:tc>
          <w:tcPr>
            <w:tcW w:w="1152" w:type="dxa"/>
          </w:tcPr>
          <w:p w14:paraId="3AAEA75D" w14:textId="77777777" w:rsidR="00DC44BD" w:rsidRDefault="00000000">
            <w:pPr>
              <w:jc w:val="center"/>
            </w:pPr>
            <w:r>
              <w:rPr>
                <w:sz w:val="18"/>
              </w:rPr>
              <w:t>51.97</w:t>
            </w:r>
          </w:p>
        </w:tc>
        <w:tc>
          <w:tcPr>
            <w:tcW w:w="1152" w:type="dxa"/>
          </w:tcPr>
          <w:p w14:paraId="59577BAB" w14:textId="77777777" w:rsidR="00DC44BD" w:rsidRDefault="00000000">
            <w:pPr>
              <w:jc w:val="center"/>
            </w:pPr>
            <w:r>
              <w:rPr>
                <w:sz w:val="18"/>
              </w:rPr>
              <w:t>32.25</w:t>
            </w:r>
          </w:p>
        </w:tc>
        <w:tc>
          <w:tcPr>
            <w:tcW w:w="1008" w:type="dxa"/>
          </w:tcPr>
          <w:p w14:paraId="0C3023A5" w14:textId="77777777" w:rsidR="00DC44BD" w:rsidRDefault="00000000">
            <w:pPr>
              <w:jc w:val="center"/>
            </w:pPr>
            <w:r>
              <w:rPr>
                <w:sz w:val="18"/>
              </w:rPr>
              <w:t>38.09</w:t>
            </w:r>
          </w:p>
        </w:tc>
        <w:tc>
          <w:tcPr>
            <w:tcW w:w="1152" w:type="dxa"/>
          </w:tcPr>
          <w:p w14:paraId="2DD42039" w14:textId="77777777" w:rsidR="00DC44BD" w:rsidRDefault="00000000">
            <w:pPr>
              <w:jc w:val="center"/>
            </w:pPr>
            <w:r>
              <w:rPr>
                <w:sz w:val="18"/>
              </w:rPr>
              <w:t>149.1</w:t>
            </w:r>
          </w:p>
        </w:tc>
      </w:tr>
      <w:tr w:rsidR="00DC44BD" w14:paraId="0910AF0B" w14:textId="77777777">
        <w:trPr>
          <w:jc w:val="center"/>
        </w:trPr>
        <w:tc>
          <w:tcPr>
            <w:tcW w:w="1872" w:type="dxa"/>
          </w:tcPr>
          <w:p w14:paraId="13B5FA03" w14:textId="77777777" w:rsidR="00DC44BD" w:rsidRDefault="00000000">
            <w:pPr>
              <w:jc w:val="center"/>
            </w:pPr>
            <w:r>
              <w:rPr>
                <w:sz w:val="18"/>
              </w:rPr>
              <w:t>Noise Injection</w:t>
            </w:r>
          </w:p>
        </w:tc>
        <w:tc>
          <w:tcPr>
            <w:tcW w:w="720" w:type="dxa"/>
          </w:tcPr>
          <w:p w14:paraId="4744FE56" w14:textId="77777777" w:rsidR="00DC44BD" w:rsidRDefault="00000000">
            <w:pPr>
              <w:jc w:val="center"/>
            </w:pPr>
            <w:r>
              <w:rPr>
                <w:sz w:val="18"/>
              </w:rPr>
              <w:t>10</w:t>
            </w:r>
          </w:p>
        </w:tc>
        <w:tc>
          <w:tcPr>
            <w:tcW w:w="1152" w:type="dxa"/>
          </w:tcPr>
          <w:p w14:paraId="3CDDFA64" w14:textId="77777777" w:rsidR="00DC44BD" w:rsidRDefault="00000000">
            <w:pPr>
              <w:jc w:val="center"/>
            </w:pPr>
            <w:r>
              <w:rPr>
                <w:sz w:val="18"/>
              </w:rPr>
              <w:t>87.98</w:t>
            </w:r>
          </w:p>
        </w:tc>
        <w:tc>
          <w:tcPr>
            <w:tcW w:w="1152" w:type="dxa"/>
          </w:tcPr>
          <w:p w14:paraId="2ADB9D4E" w14:textId="77777777" w:rsidR="00DC44BD" w:rsidRDefault="00000000">
            <w:pPr>
              <w:jc w:val="center"/>
            </w:pPr>
            <w:r>
              <w:rPr>
                <w:sz w:val="18"/>
              </w:rPr>
              <w:t>54.54</w:t>
            </w:r>
          </w:p>
        </w:tc>
        <w:tc>
          <w:tcPr>
            <w:tcW w:w="1008" w:type="dxa"/>
          </w:tcPr>
          <w:p w14:paraId="462E7E0C" w14:textId="77777777" w:rsidR="00DC44BD" w:rsidRDefault="00000000">
            <w:pPr>
              <w:jc w:val="center"/>
            </w:pPr>
            <w:r>
              <w:rPr>
                <w:sz w:val="18"/>
              </w:rPr>
              <w:t>38.01</w:t>
            </w:r>
          </w:p>
        </w:tc>
        <w:tc>
          <w:tcPr>
            <w:tcW w:w="1152" w:type="dxa"/>
          </w:tcPr>
          <w:p w14:paraId="00A65B7E" w14:textId="77777777" w:rsidR="00DC44BD" w:rsidRDefault="00000000">
            <w:pPr>
              <w:jc w:val="center"/>
            </w:pPr>
            <w:r>
              <w:rPr>
                <w:sz w:val="18"/>
              </w:rPr>
              <w:t>149.1</w:t>
            </w:r>
          </w:p>
        </w:tc>
      </w:tr>
      <w:tr w:rsidR="00DC44BD" w14:paraId="40703568" w14:textId="77777777">
        <w:trPr>
          <w:jc w:val="center"/>
        </w:trPr>
        <w:tc>
          <w:tcPr>
            <w:tcW w:w="1872" w:type="dxa"/>
          </w:tcPr>
          <w:p w14:paraId="6017EA4C" w14:textId="77777777" w:rsidR="00DC44BD" w:rsidRDefault="00000000">
            <w:pPr>
              <w:jc w:val="center"/>
            </w:pPr>
            <w:r>
              <w:rPr>
                <w:sz w:val="18"/>
              </w:rPr>
              <w:t>Channel Aug.</w:t>
            </w:r>
          </w:p>
        </w:tc>
        <w:tc>
          <w:tcPr>
            <w:tcW w:w="720" w:type="dxa"/>
          </w:tcPr>
          <w:p w14:paraId="10845EE2" w14:textId="77777777" w:rsidR="00DC44BD" w:rsidRDefault="00000000">
            <w:pPr>
              <w:jc w:val="center"/>
            </w:pPr>
            <w:r>
              <w:rPr>
                <w:sz w:val="18"/>
              </w:rPr>
              <w:t>0</w:t>
            </w:r>
          </w:p>
        </w:tc>
        <w:tc>
          <w:tcPr>
            <w:tcW w:w="1152" w:type="dxa"/>
          </w:tcPr>
          <w:p w14:paraId="4138CA3C" w14:textId="77777777" w:rsidR="00DC44BD" w:rsidRDefault="00000000">
            <w:pPr>
              <w:jc w:val="center"/>
            </w:pPr>
            <w:r>
              <w:rPr>
                <w:sz w:val="18"/>
              </w:rPr>
              <w:t>51.69</w:t>
            </w:r>
          </w:p>
        </w:tc>
        <w:tc>
          <w:tcPr>
            <w:tcW w:w="1152" w:type="dxa"/>
          </w:tcPr>
          <w:p w14:paraId="3AB33A3C" w14:textId="77777777" w:rsidR="00DC44BD" w:rsidRDefault="00000000">
            <w:pPr>
              <w:jc w:val="center"/>
            </w:pPr>
            <w:r>
              <w:rPr>
                <w:sz w:val="18"/>
              </w:rPr>
              <w:t>39.44</w:t>
            </w:r>
          </w:p>
        </w:tc>
        <w:tc>
          <w:tcPr>
            <w:tcW w:w="1008" w:type="dxa"/>
          </w:tcPr>
          <w:p w14:paraId="08CDF2DB" w14:textId="77777777" w:rsidR="00DC44BD" w:rsidRDefault="00000000">
            <w:pPr>
              <w:jc w:val="center"/>
            </w:pPr>
            <w:r>
              <w:rPr>
                <w:sz w:val="18"/>
              </w:rPr>
              <w:t>24.79</w:t>
            </w:r>
          </w:p>
        </w:tc>
        <w:tc>
          <w:tcPr>
            <w:tcW w:w="1152" w:type="dxa"/>
          </w:tcPr>
          <w:p w14:paraId="5FEA73FA" w14:textId="77777777" w:rsidR="00DC44BD" w:rsidRDefault="00000000">
            <w:pPr>
              <w:jc w:val="center"/>
            </w:pPr>
            <w:r>
              <w:rPr>
                <w:sz w:val="18"/>
              </w:rPr>
              <w:t>152.9</w:t>
            </w:r>
          </w:p>
        </w:tc>
      </w:tr>
      <w:tr w:rsidR="00DC44BD" w14:paraId="073E6FBF" w14:textId="77777777">
        <w:trPr>
          <w:jc w:val="center"/>
        </w:trPr>
        <w:tc>
          <w:tcPr>
            <w:tcW w:w="1872" w:type="dxa"/>
          </w:tcPr>
          <w:p w14:paraId="2BBDACBA" w14:textId="77777777" w:rsidR="00DC44BD" w:rsidRDefault="00000000">
            <w:pPr>
              <w:jc w:val="center"/>
            </w:pPr>
            <w:r>
              <w:rPr>
                <w:sz w:val="18"/>
              </w:rPr>
              <w:t>Channel Aug.</w:t>
            </w:r>
          </w:p>
        </w:tc>
        <w:tc>
          <w:tcPr>
            <w:tcW w:w="720" w:type="dxa"/>
          </w:tcPr>
          <w:p w14:paraId="26981C29" w14:textId="77777777" w:rsidR="00DC44BD" w:rsidRDefault="00000000">
            <w:pPr>
              <w:jc w:val="center"/>
            </w:pPr>
            <w:r>
              <w:rPr>
                <w:sz w:val="18"/>
              </w:rPr>
              <w:t>10</w:t>
            </w:r>
          </w:p>
        </w:tc>
        <w:tc>
          <w:tcPr>
            <w:tcW w:w="1152" w:type="dxa"/>
          </w:tcPr>
          <w:p w14:paraId="347D1A66" w14:textId="77777777" w:rsidR="00DC44BD" w:rsidRDefault="00000000">
            <w:pPr>
              <w:jc w:val="center"/>
            </w:pPr>
            <w:r>
              <w:rPr>
                <w:sz w:val="18"/>
              </w:rPr>
              <w:t>58.03</w:t>
            </w:r>
          </w:p>
        </w:tc>
        <w:tc>
          <w:tcPr>
            <w:tcW w:w="1152" w:type="dxa"/>
          </w:tcPr>
          <w:p w14:paraId="3E6A9C2A" w14:textId="77777777" w:rsidR="00DC44BD" w:rsidRDefault="00000000">
            <w:pPr>
              <w:jc w:val="center"/>
            </w:pPr>
            <w:r>
              <w:rPr>
                <w:sz w:val="18"/>
              </w:rPr>
              <w:t>49.54</w:t>
            </w:r>
          </w:p>
        </w:tc>
        <w:tc>
          <w:tcPr>
            <w:tcW w:w="1008" w:type="dxa"/>
          </w:tcPr>
          <w:p w14:paraId="1AF5BA52" w14:textId="77777777" w:rsidR="00DC44BD" w:rsidRDefault="00000000">
            <w:pPr>
              <w:jc w:val="center"/>
            </w:pPr>
            <w:r>
              <w:rPr>
                <w:sz w:val="18"/>
              </w:rPr>
              <w:t>15.61</w:t>
            </w:r>
          </w:p>
        </w:tc>
        <w:tc>
          <w:tcPr>
            <w:tcW w:w="1152" w:type="dxa"/>
          </w:tcPr>
          <w:p w14:paraId="5FF9A511" w14:textId="77777777" w:rsidR="00DC44BD" w:rsidRDefault="00000000">
            <w:pPr>
              <w:jc w:val="center"/>
            </w:pPr>
            <w:r>
              <w:rPr>
                <w:sz w:val="18"/>
              </w:rPr>
              <w:t>152.9</w:t>
            </w:r>
          </w:p>
        </w:tc>
      </w:tr>
      <w:tr w:rsidR="00DC44BD" w14:paraId="0881C16F" w14:textId="77777777">
        <w:trPr>
          <w:jc w:val="center"/>
        </w:trPr>
        <w:tc>
          <w:tcPr>
            <w:tcW w:w="1872" w:type="dxa"/>
          </w:tcPr>
          <w:p w14:paraId="01519B74" w14:textId="77777777" w:rsidR="00DC44BD" w:rsidRDefault="00000000">
            <w:pPr>
              <w:jc w:val="center"/>
            </w:pPr>
            <w:r>
              <w:rPr>
                <w:sz w:val="18"/>
              </w:rPr>
              <w:t>Adv.+Chan. Aug.</w:t>
            </w:r>
          </w:p>
        </w:tc>
        <w:tc>
          <w:tcPr>
            <w:tcW w:w="720" w:type="dxa"/>
          </w:tcPr>
          <w:p w14:paraId="32C552EF" w14:textId="77777777" w:rsidR="00DC44BD" w:rsidRDefault="00000000">
            <w:pPr>
              <w:jc w:val="center"/>
            </w:pPr>
            <w:r>
              <w:rPr>
                <w:sz w:val="18"/>
              </w:rPr>
              <w:t>0</w:t>
            </w:r>
          </w:p>
        </w:tc>
        <w:tc>
          <w:tcPr>
            <w:tcW w:w="1152" w:type="dxa"/>
          </w:tcPr>
          <w:p w14:paraId="570B7197" w14:textId="77777777" w:rsidR="00DC44BD" w:rsidRDefault="00000000">
            <w:pPr>
              <w:jc w:val="center"/>
            </w:pPr>
            <w:r>
              <w:rPr>
                <w:sz w:val="18"/>
              </w:rPr>
              <w:t>51.48</w:t>
            </w:r>
          </w:p>
        </w:tc>
        <w:tc>
          <w:tcPr>
            <w:tcW w:w="1152" w:type="dxa"/>
          </w:tcPr>
          <w:p w14:paraId="6D11A03B" w14:textId="77777777" w:rsidR="00DC44BD" w:rsidRDefault="00000000">
            <w:pPr>
              <w:jc w:val="center"/>
            </w:pPr>
            <w:r>
              <w:rPr>
                <w:sz w:val="18"/>
              </w:rPr>
              <w:t>39.61</w:t>
            </w:r>
          </w:p>
        </w:tc>
        <w:tc>
          <w:tcPr>
            <w:tcW w:w="1008" w:type="dxa"/>
          </w:tcPr>
          <w:p w14:paraId="583CEF05" w14:textId="77777777" w:rsidR="00DC44BD" w:rsidRDefault="00000000">
            <w:pPr>
              <w:jc w:val="center"/>
            </w:pPr>
            <w:r>
              <w:rPr>
                <w:sz w:val="18"/>
              </w:rPr>
              <w:t>25.40</w:t>
            </w:r>
          </w:p>
        </w:tc>
        <w:tc>
          <w:tcPr>
            <w:tcW w:w="1152" w:type="dxa"/>
          </w:tcPr>
          <w:p w14:paraId="34AA68C3" w14:textId="77777777" w:rsidR="00DC44BD" w:rsidRDefault="00000000">
            <w:pPr>
              <w:jc w:val="center"/>
            </w:pPr>
            <w:r>
              <w:rPr>
                <w:sz w:val="18"/>
              </w:rPr>
              <w:t>414.3</w:t>
            </w:r>
          </w:p>
        </w:tc>
      </w:tr>
      <w:tr w:rsidR="00DC44BD" w14:paraId="062968BF" w14:textId="77777777">
        <w:trPr>
          <w:jc w:val="center"/>
        </w:trPr>
        <w:tc>
          <w:tcPr>
            <w:tcW w:w="1872" w:type="dxa"/>
          </w:tcPr>
          <w:p w14:paraId="74E66276" w14:textId="77777777" w:rsidR="00DC44BD" w:rsidRDefault="00000000">
            <w:pPr>
              <w:jc w:val="center"/>
            </w:pPr>
            <w:r>
              <w:rPr>
                <w:sz w:val="18"/>
              </w:rPr>
              <w:t>Adv.+Chan. Aug.</w:t>
            </w:r>
          </w:p>
        </w:tc>
        <w:tc>
          <w:tcPr>
            <w:tcW w:w="720" w:type="dxa"/>
          </w:tcPr>
          <w:p w14:paraId="455C5056" w14:textId="77777777" w:rsidR="00DC44BD" w:rsidRDefault="00000000">
            <w:pPr>
              <w:jc w:val="center"/>
            </w:pPr>
            <w:r>
              <w:rPr>
                <w:sz w:val="18"/>
              </w:rPr>
              <w:t>10</w:t>
            </w:r>
          </w:p>
        </w:tc>
        <w:tc>
          <w:tcPr>
            <w:tcW w:w="1152" w:type="dxa"/>
          </w:tcPr>
          <w:p w14:paraId="0182DCAC" w14:textId="77777777" w:rsidR="00DC44BD" w:rsidRDefault="00000000">
            <w:pPr>
              <w:jc w:val="center"/>
            </w:pPr>
            <w:r>
              <w:rPr>
                <w:sz w:val="18"/>
              </w:rPr>
              <w:t>40.50</w:t>
            </w:r>
          </w:p>
        </w:tc>
        <w:tc>
          <w:tcPr>
            <w:tcW w:w="1152" w:type="dxa"/>
          </w:tcPr>
          <w:p w14:paraId="14585567" w14:textId="77777777" w:rsidR="00DC44BD" w:rsidRDefault="00000000">
            <w:pPr>
              <w:jc w:val="center"/>
            </w:pPr>
            <w:r>
              <w:rPr>
                <w:sz w:val="18"/>
              </w:rPr>
              <w:t>36.97</w:t>
            </w:r>
          </w:p>
        </w:tc>
        <w:tc>
          <w:tcPr>
            <w:tcW w:w="1008" w:type="dxa"/>
          </w:tcPr>
          <w:p w14:paraId="1BD11CA0" w14:textId="77777777" w:rsidR="00DC44BD" w:rsidRDefault="00000000">
            <w:pPr>
              <w:jc w:val="center"/>
            </w:pPr>
            <w:r>
              <w:rPr>
                <w:sz w:val="18"/>
              </w:rPr>
              <w:t>8.75</w:t>
            </w:r>
          </w:p>
        </w:tc>
        <w:tc>
          <w:tcPr>
            <w:tcW w:w="1152" w:type="dxa"/>
          </w:tcPr>
          <w:p w14:paraId="4043DAB0" w14:textId="77777777" w:rsidR="00DC44BD" w:rsidRDefault="00000000">
            <w:pPr>
              <w:jc w:val="center"/>
            </w:pPr>
            <w:r>
              <w:rPr>
                <w:sz w:val="18"/>
              </w:rPr>
              <w:t>414.3</w:t>
            </w:r>
          </w:p>
        </w:tc>
      </w:tr>
      <w:tr w:rsidR="00DC44BD" w14:paraId="0A48C9CB" w14:textId="77777777">
        <w:trPr>
          <w:jc w:val="center"/>
        </w:trPr>
        <w:tc>
          <w:tcPr>
            <w:tcW w:w="1872" w:type="dxa"/>
          </w:tcPr>
          <w:p w14:paraId="7DA4183D" w14:textId="77777777" w:rsidR="00DC44BD" w:rsidRDefault="00000000">
            <w:pPr>
              <w:jc w:val="center"/>
            </w:pPr>
            <w:r>
              <w:rPr>
                <w:sz w:val="18"/>
              </w:rPr>
              <w:t>Noise+Chan. Aug.</w:t>
            </w:r>
          </w:p>
        </w:tc>
        <w:tc>
          <w:tcPr>
            <w:tcW w:w="720" w:type="dxa"/>
          </w:tcPr>
          <w:p w14:paraId="1B42C67C" w14:textId="77777777" w:rsidR="00DC44BD" w:rsidRDefault="00000000">
            <w:pPr>
              <w:jc w:val="center"/>
            </w:pPr>
            <w:r>
              <w:rPr>
                <w:sz w:val="18"/>
              </w:rPr>
              <w:t>0</w:t>
            </w:r>
          </w:p>
        </w:tc>
        <w:tc>
          <w:tcPr>
            <w:tcW w:w="1152" w:type="dxa"/>
          </w:tcPr>
          <w:p w14:paraId="6BC5534B" w14:textId="77777777" w:rsidR="00DC44BD" w:rsidRDefault="00000000">
            <w:pPr>
              <w:jc w:val="center"/>
            </w:pPr>
            <w:r>
              <w:rPr>
                <w:sz w:val="18"/>
              </w:rPr>
              <w:t>51.11</w:t>
            </w:r>
          </w:p>
        </w:tc>
        <w:tc>
          <w:tcPr>
            <w:tcW w:w="1152" w:type="dxa"/>
          </w:tcPr>
          <w:p w14:paraId="0C1952B2" w14:textId="77777777" w:rsidR="00DC44BD" w:rsidRDefault="00000000">
            <w:pPr>
              <w:jc w:val="center"/>
            </w:pPr>
            <w:r>
              <w:rPr>
                <w:sz w:val="18"/>
              </w:rPr>
              <w:t>38.70</w:t>
            </w:r>
          </w:p>
        </w:tc>
        <w:tc>
          <w:tcPr>
            <w:tcW w:w="1008" w:type="dxa"/>
          </w:tcPr>
          <w:p w14:paraId="42862019" w14:textId="77777777" w:rsidR="00DC44BD" w:rsidRDefault="00000000">
            <w:pPr>
              <w:jc w:val="center"/>
            </w:pPr>
            <w:r>
              <w:rPr>
                <w:sz w:val="18"/>
              </w:rPr>
              <w:t>25.64</w:t>
            </w:r>
          </w:p>
        </w:tc>
        <w:tc>
          <w:tcPr>
            <w:tcW w:w="1152" w:type="dxa"/>
          </w:tcPr>
          <w:p w14:paraId="2E8A4A15" w14:textId="77777777" w:rsidR="00DC44BD" w:rsidRDefault="00000000">
            <w:pPr>
              <w:jc w:val="center"/>
            </w:pPr>
            <w:r>
              <w:rPr>
                <w:sz w:val="18"/>
              </w:rPr>
              <w:t>153.7</w:t>
            </w:r>
          </w:p>
        </w:tc>
      </w:tr>
      <w:tr w:rsidR="00DC44BD" w14:paraId="7C25408C" w14:textId="77777777">
        <w:trPr>
          <w:jc w:val="center"/>
        </w:trPr>
        <w:tc>
          <w:tcPr>
            <w:tcW w:w="1872" w:type="dxa"/>
          </w:tcPr>
          <w:p w14:paraId="25723322" w14:textId="77777777" w:rsidR="00DC44BD" w:rsidRDefault="00000000">
            <w:pPr>
              <w:jc w:val="center"/>
            </w:pPr>
            <w:r>
              <w:rPr>
                <w:sz w:val="18"/>
              </w:rPr>
              <w:t>Noise+Chan. Aug.</w:t>
            </w:r>
          </w:p>
        </w:tc>
        <w:tc>
          <w:tcPr>
            <w:tcW w:w="720" w:type="dxa"/>
          </w:tcPr>
          <w:p w14:paraId="292076A5" w14:textId="77777777" w:rsidR="00DC44BD" w:rsidRDefault="00000000">
            <w:pPr>
              <w:jc w:val="center"/>
            </w:pPr>
            <w:r>
              <w:rPr>
                <w:sz w:val="18"/>
              </w:rPr>
              <w:t>10</w:t>
            </w:r>
          </w:p>
        </w:tc>
        <w:tc>
          <w:tcPr>
            <w:tcW w:w="1152" w:type="dxa"/>
          </w:tcPr>
          <w:p w14:paraId="5D7462DE" w14:textId="77777777" w:rsidR="00DC44BD" w:rsidRDefault="00000000">
            <w:pPr>
              <w:jc w:val="center"/>
            </w:pPr>
            <w:r>
              <w:rPr>
                <w:sz w:val="18"/>
              </w:rPr>
              <w:t>57.11</w:t>
            </w:r>
          </w:p>
        </w:tc>
        <w:tc>
          <w:tcPr>
            <w:tcW w:w="1152" w:type="dxa"/>
          </w:tcPr>
          <w:p w14:paraId="5501D110" w14:textId="77777777" w:rsidR="00DC44BD" w:rsidRDefault="00000000">
            <w:pPr>
              <w:jc w:val="center"/>
            </w:pPr>
            <w:r>
              <w:rPr>
                <w:sz w:val="18"/>
              </w:rPr>
              <w:t>49.39</w:t>
            </w:r>
          </w:p>
        </w:tc>
        <w:tc>
          <w:tcPr>
            <w:tcW w:w="1008" w:type="dxa"/>
          </w:tcPr>
          <w:p w14:paraId="41BE3AAA" w14:textId="77777777" w:rsidR="00DC44BD" w:rsidRDefault="00000000">
            <w:pPr>
              <w:jc w:val="center"/>
            </w:pPr>
            <w:r>
              <w:rPr>
                <w:sz w:val="18"/>
              </w:rPr>
              <w:t>14.61</w:t>
            </w:r>
          </w:p>
        </w:tc>
        <w:tc>
          <w:tcPr>
            <w:tcW w:w="1152" w:type="dxa"/>
          </w:tcPr>
          <w:p w14:paraId="39DD5C28" w14:textId="77777777" w:rsidR="00DC44BD" w:rsidRDefault="00000000">
            <w:pPr>
              <w:jc w:val="center"/>
            </w:pPr>
            <w:r>
              <w:rPr>
                <w:sz w:val="18"/>
              </w:rPr>
              <w:t>153.7</w:t>
            </w:r>
          </w:p>
        </w:tc>
      </w:tr>
    </w:tbl>
    <w:p w14:paraId="3C2A28C8" w14:textId="77777777" w:rsidR="00DC44BD" w:rsidRDefault="00DC44BD"/>
    <w:p w14:paraId="386B461E" w14:textId="77777777" w:rsidR="00DC44BD" w:rsidRDefault="00000000">
      <w:pPr>
        <w:pStyle w:val="CDRParagraph"/>
      </w:pPr>
      <w:r>
        <w:rPr>
          <w:b/>
        </w:rPr>
        <w:t xml:space="preserve">Channel augmentation </w:t>
      </w:r>
      <w:r>
        <w:t>reduces ASR from 7.33% to 1.67% at 10 dB on 2016, and from 30.87% to 15.61% on 2018, while preserving most clean accuracy on 2016 (82.19% vs. 85.59%). On 2018, it trades peak AWGN performance (58.03% vs. 90.72%) for channel robustness.</w:t>
      </w:r>
    </w:p>
    <w:p w14:paraId="066DAEFD" w14:textId="77777777" w:rsidR="00DC44BD" w:rsidRDefault="00000000">
      <w:pPr>
        <w:pStyle w:val="CDRParagraph"/>
      </w:pPr>
      <w:r>
        <w:rPr>
          <w:b/>
        </w:rPr>
        <w:lastRenderedPageBreak/>
        <w:t xml:space="preserve">Adversarial training </w:t>
      </w:r>
      <w:r>
        <w:t>reduces ASR from 7.33% to 2.88% on 2016 and from 30.87% to 25.92% on 2018, but requires 5–6x more training time than channel augmentation.</w:t>
      </w:r>
    </w:p>
    <w:p w14:paraId="38DEDB54" w14:textId="77777777" w:rsidR="00DC44BD" w:rsidRDefault="00000000">
      <w:pPr>
        <w:pStyle w:val="CDRParagraph"/>
      </w:pPr>
      <w:r>
        <w:rPr>
          <w:b/>
        </w:rPr>
        <w:t xml:space="preserve">Noise injection </w:t>
      </w:r>
      <w:r>
        <w:t>achieves low ASR on 2016 (3.05%) but with severe clean accuracy degradation (52.96%). On 2018, it actually increases ASR (38.01% vs. 30.87% baseline).</w:t>
      </w:r>
    </w:p>
    <w:p w14:paraId="589100ED" w14:textId="77777777" w:rsidR="00DC44BD" w:rsidRDefault="00000000">
      <w:pPr>
        <w:pStyle w:val="CDRParagraph"/>
      </w:pPr>
      <w:r>
        <w:rPr>
          <w:b/>
        </w:rPr>
        <w:t xml:space="preserve">Combined defense </w:t>
      </w:r>
      <w:r>
        <w:t>(adversarial training + channel augmentation) achieves the lowest ASR on both datasets: 1.30% on 2016 and 8.75% on 2018. On 2016, the clean accuracy cost is modest (82.85% vs. 85.59%); on 2018, it is substantial (40.50% vs. 90.72%).</w:t>
      </w:r>
    </w:p>
    <w:p w14:paraId="4DDD7504" w14:textId="77777777" w:rsidR="00DC44BD" w:rsidRDefault="00000000">
      <w:pPr>
        <w:pStyle w:val="CDRParagraph"/>
      </w:pPr>
      <w:r>
        <w:rPr>
          <w:b/>
        </w:rPr>
        <w:t xml:space="preserve">Robustness-compute tradeoff. </w:t>
      </w:r>
      <w:r>
        <w:t>Channel augmentation offers the best ASR reduction per training hour: 5.66 pp in 18.9 min (2016) vs. 4.45 pp in 103.5 min for adversarial training. On 2018, the gap is more pronounced: 15.26 pp in 152.9 min vs. 4.95 pp in 411.0 min.</w:t>
      </w:r>
    </w:p>
    <w:p w14:paraId="43DEEA07" w14:textId="77777777" w:rsidR="00DC44BD" w:rsidRDefault="00DC44BD"/>
    <w:p w14:paraId="59C4E4A2" w14:textId="77777777" w:rsidR="00DC44BD" w:rsidRDefault="00000000">
      <w:pPr>
        <w:jc w:val="center"/>
      </w:pPr>
      <w:r>
        <w:rPr>
          <w:noProof/>
        </w:rPr>
        <w:drawing>
          <wp:inline distT="0" distB="0" distL="0" distR="0" wp14:anchorId="2D48EE86" wp14:editId="61F35502">
            <wp:extent cx="5486400" cy="2407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se_comparison.png"/>
                    <pic:cNvPicPr/>
                  </pic:nvPicPr>
                  <pic:blipFill>
                    <a:blip r:embed="rId12"/>
                    <a:stretch>
                      <a:fillRect/>
                    </a:stretch>
                  </pic:blipFill>
                  <pic:spPr>
                    <a:xfrm>
                      <a:off x="0" y="0"/>
                      <a:ext cx="5486400" cy="2407879"/>
                    </a:xfrm>
                    <a:prstGeom prst="rect">
                      <a:avLst/>
                    </a:prstGeom>
                  </pic:spPr>
                </pic:pic>
              </a:graphicData>
            </a:graphic>
          </wp:inline>
        </w:drawing>
      </w:r>
    </w:p>
    <w:p w14:paraId="71840FBD" w14:textId="77777777" w:rsidR="00DC44BD" w:rsidRDefault="00000000">
      <w:pPr>
        <w:pStyle w:val="CDRParagraph"/>
        <w:jc w:val="center"/>
      </w:pPr>
      <w:r>
        <w:rPr>
          <w:i/>
          <w:sz w:val="16"/>
        </w:rPr>
        <w:t>Figure 2. Defense comparison across RadioML 2016.10a and 2018.01a at SNR = 10 dB under PGD (ρ = 1%). Light bars: clean accuracy; medium bars: robust accuracy; dark bars: attack success rate. ASR values annotated above dark bars.</w:t>
      </w:r>
    </w:p>
    <w:p w14:paraId="725CAD49" w14:textId="77777777" w:rsidR="00DC44BD" w:rsidRDefault="00DC44BD"/>
    <w:p w14:paraId="6870AB73" w14:textId="77777777" w:rsidR="00DC44BD" w:rsidRDefault="00000000">
      <w:pPr>
        <w:pStyle w:val="CDRHeading2"/>
      </w:pPr>
      <w:r>
        <w:t>5.4  Per-Class Vulnerability Analysis</w:t>
      </w:r>
    </w:p>
    <w:p w14:paraId="456E4434" w14:textId="77777777" w:rsidR="00DC44BD" w:rsidRDefault="00000000">
      <w:pPr>
        <w:pStyle w:val="CDRParagraph"/>
      </w:pPr>
      <w:r>
        <w:rPr>
          <w:b/>
        </w:rPr>
        <w:t xml:space="preserve">RadioML 2016.10a. </w:t>
      </w:r>
      <w:r>
        <w:t>At SNR = 10 dB, AM-DSB is most vulnerable (41.76% ASR). Digital modulations like BPSK (0.64%), QPSK (0.69%), and 8PSK (2.12%) are nearly impervious.</w:t>
      </w:r>
    </w:p>
    <w:p w14:paraId="323B482C" w14:textId="77777777" w:rsidR="00DC44BD" w:rsidRDefault="00000000">
      <w:pPr>
        <w:pStyle w:val="CDRParagraph"/>
      </w:pPr>
      <w:r>
        <w:rPr>
          <w:b/>
        </w:rPr>
        <w:t xml:space="preserve">RadioML 2018.01a. </w:t>
      </w:r>
      <w:r>
        <w:t>256-QAM achieves 99.6% ASR while OOK exhibits only 0.54%. Other high-vulnerability modulations include 128-QAM (93.7%) and 64-QAM (64.5%). The vulnerability of high-order QAM is physically intuitive: dense constellation points are closely spaced, and even small I/Q perturbations can push samples across decision boundaries.</w:t>
      </w:r>
    </w:p>
    <w:p w14:paraId="274C8C30" w14:textId="77777777" w:rsidR="00DC44BD" w:rsidRDefault="00000000">
      <w:pPr>
        <w:pStyle w:val="CDRHeading2"/>
      </w:pPr>
      <w:r>
        <w:t>5.5  Transferability Analysis</w:t>
      </w:r>
    </w:p>
    <w:p w14:paraId="3EAADCDD" w14:textId="77777777" w:rsidR="00DC44BD" w:rsidRDefault="00000000">
      <w:pPr>
        <w:pStyle w:val="CDRParagraph"/>
      </w:pPr>
      <w:r>
        <w:t>We evaluate transfer attacks on 2016.10a (Table 4).</w:t>
      </w:r>
    </w:p>
    <w:p w14:paraId="3BE7D271" w14:textId="77777777" w:rsidR="00DC44BD" w:rsidRDefault="00DC44BD"/>
    <w:p w14:paraId="47810FD1" w14:textId="77777777" w:rsidR="00DC44BD" w:rsidRDefault="00000000">
      <w:pPr>
        <w:jc w:val="center"/>
      </w:pPr>
      <w:r>
        <w:rPr>
          <w:b/>
          <w:sz w:val="18"/>
        </w:rPr>
        <w:t>Table 4: Transfer Attack Success Rate (RadioML 2016.10a, SNR = 10 dB, PGD ρ = 1%)</w:t>
      </w:r>
    </w:p>
    <w:tbl>
      <w:tblPr>
        <w:tblW w:w="0" w:type="auto"/>
        <w:jc w:val="center"/>
        <w:tblLook w:val="04A0" w:firstRow="1" w:lastRow="0" w:firstColumn="1" w:lastColumn="0" w:noHBand="0" w:noVBand="1"/>
      </w:tblPr>
      <w:tblGrid>
        <w:gridCol w:w="2592"/>
        <w:gridCol w:w="1440"/>
        <w:gridCol w:w="1440"/>
        <w:gridCol w:w="1440"/>
      </w:tblGrid>
      <w:tr w:rsidR="00DC44BD" w14:paraId="7C512AEA" w14:textId="77777777">
        <w:trPr>
          <w:jc w:val="center"/>
        </w:trPr>
        <w:tc>
          <w:tcPr>
            <w:tcW w:w="2592" w:type="dxa"/>
            <w:shd w:val="clear" w:color="auto" w:fill="D9E2F3"/>
          </w:tcPr>
          <w:p w14:paraId="3D48ABCE" w14:textId="77777777" w:rsidR="00DC44BD" w:rsidRDefault="00000000">
            <w:pPr>
              <w:jc w:val="center"/>
            </w:pPr>
            <w:r>
              <w:rPr>
                <w:b/>
                <w:sz w:val="18"/>
              </w:rPr>
              <w:t>Source → Target</w:t>
            </w:r>
          </w:p>
        </w:tc>
        <w:tc>
          <w:tcPr>
            <w:tcW w:w="1440" w:type="dxa"/>
            <w:shd w:val="clear" w:color="auto" w:fill="D9E2F3"/>
          </w:tcPr>
          <w:p w14:paraId="27F3C060" w14:textId="77777777" w:rsidR="00DC44BD" w:rsidRDefault="00000000">
            <w:pPr>
              <w:jc w:val="center"/>
            </w:pPr>
            <w:r>
              <w:rPr>
                <w:b/>
                <w:sz w:val="18"/>
              </w:rPr>
              <w:t>Src. ASR (%)</w:t>
            </w:r>
          </w:p>
        </w:tc>
        <w:tc>
          <w:tcPr>
            <w:tcW w:w="1440" w:type="dxa"/>
            <w:shd w:val="clear" w:color="auto" w:fill="D9E2F3"/>
          </w:tcPr>
          <w:p w14:paraId="4D27E1BD" w14:textId="77777777" w:rsidR="00DC44BD" w:rsidRDefault="00000000">
            <w:pPr>
              <w:jc w:val="center"/>
            </w:pPr>
            <w:r>
              <w:rPr>
                <w:b/>
                <w:sz w:val="18"/>
              </w:rPr>
              <w:t>Tgt. ASR (%)</w:t>
            </w:r>
          </w:p>
        </w:tc>
        <w:tc>
          <w:tcPr>
            <w:tcW w:w="1440" w:type="dxa"/>
            <w:shd w:val="clear" w:color="auto" w:fill="D9E2F3"/>
          </w:tcPr>
          <w:p w14:paraId="0E0BF8B7" w14:textId="77777777" w:rsidR="00DC44BD" w:rsidRDefault="00000000">
            <w:pPr>
              <w:jc w:val="center"/>
            </w:pPr>
            <w:r>
              <w:rPr>
                <w:b/>
                <w:sz w:val="18"/>
              </w:rPr>
              <w:t>Transfer (%)</w:t>
            </w:r>
          </w:p>
        </w:tc>
      </w:tr>
      <w:tr w:rsidR="00DC44BD" w14:paraId="21A9351A" w14:textId="77777777">
        <w:trPr>
          <w:jc w:val="center"/>
        </w:trPr>
        <w:tc>
          <w:tcPr>
            <w:tcW w:w="2592" w:type="dxa"/>
          </w:tcPr>
          <w:p w14:paraId="50E85A2E" w14:textId="77777777" w:rsidR="00DC44BD" w:rsidRDefault="00000000">
            <w:pPr>
              <w:jc w:val="center"/>
            </w:pPr>
            <w:r>
              <w:rPr>
                <w:sz w:val="18"/>
              </w:rPr>
              <w:t>Baseline → Channel Aug.</w:t>
            </w:r>
          </w:p>
        </w:tc>
        <w:tc>
          <w:tcPr>
            <w:tcW w:w="1440" w:type="dxa"/>
          </w:tcPr>
          <w:p w14:paraId="7CD86442" w14:textId="77777777" w:rsidR="00DC44BD" w:rsidRDefault="00000000">
            <w:pPr>
              <w:jc w:val="center"/>
            </w:pPr>
            <w:r>
              <w:rPr>
                <w:sz w:val="18"/>
              </w:rPr>
              <w:t>9.12</w:t>
            </w:r>
          </w:p>
        </w:tc>
        <w:tc>
          <w:tcPr>
            <w:tcW w:w="1440" w:type="dxa"/>
          </w:tcPr>
          <w:p w14:paraId="148B381B" w14:textId="77777777" w:rsidR="00DC44BD" w:rsidRDefault="00000000">
            <w:pPr>
              <w:jc w:val="center"/>
            </w:pPr>
            <w:r>
              <w:rPr>
                <w:sz w:val="18"/>
              </w:rPr>
              <w:t>4.32</w:t>
            </w:r>
          </w:p>
        </w:tc>
        <w:tc>
          <w:tcPr>
            <w:tcW w:w="1440" w:type="dxa"/>
          </w:tcPr>
          <w:p w14:paraId="3BF42E83" w14:textId="77777777" w:rsidR="00DC44BD" w:rsidRDefault="00000000">
            <w:pPr>
              <w:jc w:val="center"/>
            </w:pPr>
            <w:r>
              <w:rPr>
                <w:sz w:val="18"/>
              </w:rPr>
              <w:t>38.3</w:t>
            </w:r>
          </w:p>
        </w:tc>
      </w:tr>
      <w:tr w:rsidR="00DC44BD" w14:paraId="29A24E42" w14:textId="77777777">
        <w:trPr>
          <w:jc w:val="center"/>
        </w:trPr>
        <w:tc>
          <w:tcPr>
            <w:tcW w:w="2592" w:type="dxa"/>
          </w:tcPr>
          <w:p w14:paraId="7366F44B" w14:textId="77777777" w:rsidR="00DC44BD" w:rsidRDefault="00000000">
            <w:pPr>
              <w:jc w:val="center"/>
            </w:pPr>
            <w:r>
              <w:rPr>
                <w:sz w:val="18"/>
              </w:rPr>
              <w:t>Baseline → Adv. Train</w:t>
            </w:r>
          </w:p>
        </w:tc>
        <w:tc>
          <w:tcPr>
            <w:tcW w:w="1440" w:type="dxa"/>
          </w:tcPr>
          <w:p w14:paraId="4FB6D6E2" w14:textId="77777777" w:rsidR="00DC44BD" w:rsidRDefault="00000000">
            <w:pPr>
              <w:jc w:val="center"/>
            </w:pPr>
            <w:r>
              <w:rPr>
                <w:sz w:val="18"/>
              </w:rPr>
              <w:t>9.04</w:t>
            </w:r>
          </w:p>
        </w:tc>
        <w:tc>
          <w:tcPr>
            <w:tcW w:w="1440" w:type="dxa"/>
          </w:tcPr>
          <w:p w14:paraId="345E7CAF" w14:textId="77777777" w:rsidR="00DC44BD" w:rsidRDefault="00000000">
            <w:pPr>
              <w:jc w:val="center"/>
            </w:pPr>
            <w:r>
              <w:rPr>
                <w:sz w:val="18"/>
              </w:rPr>
              <w:t>2.02</w:t>
            </w:r>
          </w:p>
        </w:tc>
        <w:tc>
          <w:tcPr>
            <w:tcW w:w="1440" w:type="dxa"/>
          </w:tcPr>
          <w:p w14:paraId="27E22496" w14:textId="77777777" w:rsidR="00DC44BD" w:rsidRDefault="00000000">
            <w:pPr>
              <w:jc w:val="center"/>
            </w:pPr>
            <w:r>
              <w:rPr>
                <w:sz w:val="18"/>
              </w:rPr>
              <w:t>32.6</w:t>
            </w:r>
          </w:p>
        </w:tc>
      </w:tr>
      <w:tr w:rsidR="00DC44BD" w14:paraId="41180441" w14:textId="77777777">
        <w:trPr>
          <w:jc w:val="center"/>
        </w:trPr>
        <w:tc>
          <w:tcPr>
            <w:tcW w:w="2592" w:type="dxa"/>
          </w:tcPr>
          <w:p w14:paraId="52A1038E" w14:textId="77777777" w:rsidR="00DC44BD" w:rsidRDefault="00000000">
            <w:pPr>
              <w:jc w:val="center"/>
            </w:pPr>
            <w:r>
              <w:rPr>
                <w:sz w:val="18"/>
              </w:rPr>
              <w:t>Baseline → Noise Inj.</w:t>
            </w:r>
          </w:p>
        </w:tc>
        <w:tc>
          <w:tcPr>
            <w:tcW w:w="1440" w:type="dxa"/>
          </w:tcPr>
          <w:p w14:paraId="061246AA" w14:textId="77777777" w:rsidR="00DC44BD" w:rsidRDefault="00000000">
            <w:pPr>
              <w:jc w:val="center"/>
            </w:pPr>
            <w:r>
              <w:rPr>
                <w:sz w:val="18"/>
              </w:rPr>
              <w:t>9.01</w:t>
            </w:r>
          </w:p>
        </w:tc>
        <w:tc>
          <w:tcPr>
            <w:tcW w:w="1440" w:type="dxa"/>
          </w:tcPr>
          <w:p w14:paraId="062DA6B4" w14:textId="77777777" w:rsidR="00DC44BD" w:rsidRDefault="00000000">
            <w:pPr>
              <w:jc w:val="center"/>
            </w:pPr>
            <w:r>
              <w:rPr>
                <w:sz w:val="18"/>
              </w:rPr>
              <w:t>4.21</w:t>
            </w:r>
          </w:p>
        </w:tc>
        <w:tc>
          <w:tcPr>
            <w:tcW w:w="1440" w:type="dxa"/>
          </w:tcPr>
          <w:p w14:paraId="2060EAAF" w14:textId="77777777" w:rsidR="00DC44BD" w:rsidRDefault="00000000">
            <w:pPr>
              <w:jc w:val="center"/>
            </w:pPr>
            <w:r>
              <w:rPr>
                <w:sz w:val="18"/>
              </w:rPr>
              <w:t>57.1</w:t>
            </w:r>
          </w:p>
        </w:tc>
      </w:tr>
      <w:tr w:rsidR="00DC44BD" w14:paraId="04F3C691" w14:textId="77777777">
        <w:trPr>
          <w:jc w:val="center"/>
        </w:trPr>
        <w:tc>
          <w:tcPr>
            <w:tcW w:w="2592" w:type="dxa"/>
          </w:tcPr>
          <w:p w14:paraId="516812CB" w14:textId="77777777" w:rsidR="00DC44BD" w:rsidRDefault="00000000">
            <w:pPr>
              <w:jc w:val="center"/>
            </w:pPr>
            <w:r>
              <w:rPr>
                <w:sz w:val="18"/>
              </w:rPr>
              <w:t>Baseline → Adv.+Chan. Aug.</w:t>
            </w:r>
          </w:p>
        </w:tc>
        <w:tc>
          <w:tcPr>
            <w:tcW w:w="1440" w:type="dxa"/>
          </w:tcPr>
          <w:p w14:paraId="20A5E624" w14:textId="77777777" w:rsidR="00DC44BD" w:rsidRDefault="00000000">
            <w:pPr>
              <w:jc w:val="center"/>
            </w:pPr>
            <w:r>
              <w:rPr>
                <w:sz w:val="18"/>
              </w:rPr>
              <w:t>9.14</w:t>
            </w:r>
          </w:p>
        </w:tc>
        <w:tc>
          <w:tcPr>
            <w:tcW w:w="1440" w:type="dxa"/>
          </w:tcPr>
          <w:p w14:paraId="177AB83D" w14:textId="77777777" w:rsidR="00DC44BD" w:rsidRDefault="00000000">
            <w:pPr>
              <w:jc w:val="center"/>
            </w:pPr>
            <w:r>
              <w:rPr>
                <w:sz w:val="18"/>
              </w:rPr>
              <w:t>4.00</w:t>
            </w:r>
          </w:p>
        </w:tc>
        <w:tc>
          <w:tcPr>
            <w:tcW w:w="1440" w:type="dxa"/>
          </w:tcPr>
          <w:p w14:paraId="59FAC8BC" w14:textId="77777777" w:rsidR="00DC44BD" w:rsidRDefault="00000000">
            <w:pPr>
              <w:jc w:val="center"/>
            </w:pPr>
            <w:r>
              <w:rPr>
                <w:sz w:val="18"/>
              </w:rPr>
              <w:t>38.9</w:t>
            </w:r>
          </w:p>
        </w:tc>
      </w:tr>
    </w:tbl>
    <w:p w14:paraId="17155C3B" w14:textId="77777777" w:rsidR="00DC44BD" w:rsidRDefault="00DC44BD"/>
    <w:p w14:paraId="297FF5B6" w14:textId="77777777" w:rsidR="00DC44BD" w:rsidRDefault="00000000">
      <w:pPr>
        <w:pStyle w:val="CDRParagraph"/>
      </w:pPr>
      <w:r>
        <w:t>Transfer rates range from 32.6% to 57.1%. Adversarial training shows the lowest transfer rate (32.6%), suggesting it learns fundamentally different decision boundaries. These transfer rates reflect the constrained norm-ratio budget and no-CSI threat model; a channel-aware adversary with EoT optimization could potentially achieve higher transfer success.</w:t>
      </w:r>
    </w:p>
    <w:p w14:paraId="2D021C63" w14:textId="77777777" w:rsidR="00DC44BD" w:rsidRDefault="00000000">
      <w:pPr>
        <w:pStyle w:val="CDRHeading1"/>
      </w:pPr>
      <w:r>
        <w:t>6  DISCUSSION</w:t>
      </w:r>
    </w:p>
    <w:p w14:paraId="4507D091" w14:textId="77777777" w:rsidR="00DC44BD" w:rsidRDefault="00000000">
      <w:pPr>
        <w:pStyle w:val="CDRHeading2"/>
      </w:pPr>
      <w:r>
        <w:t>6.1  Implications for Cognitive Electronic Warfare</w:t>
      </w:r>
    </w:p>
    <w:p w14:paraId="57D912E8" w14:textId="77777777" w:rsidR="00DC44BD" w:rsidRDefault="00000000">
      <w:pPr>
        <w:pStyle w:val="CDRParagraph"/>
      </w:pPr>
      <w:r>
        <w:t>Our results carry several practical implications for organizations developing and deploying AI-enabled spectrum sensing in contested electromagnetic environments.</w:t>
      </w:r>
    </w:p>
    <w:p w14:paraId="3DB72C04" w14:textId="77777777" w:rsidR="00DC44BD" w:rsidRDefault="00000000">
      <w:pPr>
        <w:pStyle w:val="CDRParagraph"/>
      </w:pPr>
      <w:r>
        <w:rPr>
          <w:b/>
        </w:rPr>
        <w:t xml:space="preserve">Channel hardening should precede adversarial hardening. </w:t>
      </w:r>
      <w:r>
        <w:t>The most striking finding across both datasets is the disparity between channel-induced and adversary-induced degradation. Under Rayleigh fading at 10 dB, classifier accuracy drops by 38–44 percentage points on 2016 and 64 points on 2018, while PGD at ρ = 1% causes only 7–9 points of additional degradation on 2016 and 28 points on 2018. For systems operating in multipath-rich environments (urban terrain, shipboard, or airborne platforms), this means the propagation channel itself is the dominant threat to classification reliability. Investing in channel-robust architectures through augmentation training yields a larger operational return than adversarial hardening alone. Our data shows channel augmentation reduces ASR by 5.66 pp in 18.9 minutes of additional training on 2016, compared to 4.45 pp in 103.5 minutes for adversarial training. On 2018, the efficiency gap widens further: 15.26 pp in 152.9 minutes versus 4.95 pp in 411.0 minutes. For resource-constrained edge platforms, this tradeoff strongly favors channel augmentation as the first line of defense.</w:t>
      </w:r>
    </w:p>
    <w:p w14:paraId="37207836" w14:textId="77777777" w:rsidR="00DC44BD" w:rsidRDefault="00000000">
      <w:pPr>
        <w:pStyle w:val="CDRParagraph"/>
      </w:pPr>
      <w:r>
        <w:rPr>
          <w:b/>
        </w:rPr>
        <w:t xml:space="preserve">Evaluation methodology shapes threat assessment. </w:t>
      </w:r>
      <w:r>
        <w:t>The double-noising artifact we identify has direct consequences for how military organizations assess adversarial risk. When AWGN is re-applied to RadioML samples that already contain noise at their labeled SNR, baseline accuracy degrades artificially, inflating reported ASR. Studies that do not account for this artifact may overestimate adversarial vulnerability, potentially misallocating defensive resources toward adversarial hardening when channel robustness is the more pressing need. We recommend that future evaluations using pre-collected benchmark datasets explicitly document how native noise is handled and report both absolute robust accuracy and marginal adversarial damage (the gap between clean and robust accuracy under identical channel conditions).</w:t>
      </w:r>
    </w:p>
    <w:p w14:paraId="73B07286" w14:textId="77777777" w:rsidR="00DC44BD" w:rsidRDefault="00000000">
      <w:pPr>
        <w:pStyle w:val="CDRParagraph"/>
      </w:pPr>
      <w:r>
        <w:rPr>
          <w:b/>
        </w:rPr>
        <w:t xml:space="preserve">The perturbation constraint formulation fundamentally changes the threat picture. </w:t>
      </w:r>
      <w:r>
        <w:t xml:space="preserve">Our norm-ratio constraint (‖δ‖₂ / ‖x‖₂ ≤ ρ) maps directly to interference-to-signal ratio (ISR </w:t>
      </w:r>
      <w:r>
        <w:lastRenderedPageBreak/>
        <w:t>= ρ²), allowing EW operators to reason about adversarial threats in familiar power-ratio terms. At ρ = 1% (-40 dB ISR), the adversary’s perturbation power is four orders of magnitude below the signal. The resulting ASR of 7–9% on 2016 is dramatically lower than the near-total accuracy destruction reported in studies using L-inf constraints at comparable perturbation magnitudes (Flowers, Buehrer, and Headley 2019). This discrepancy suggests that prior threat assessments based on vision-derived constraint formulations may have substantially overstated the practical adversarial risk to RF classifiers operating at reasonable interference power levels.</w:t>
      </w:r>
    </w:p>
    <w:p w14:paraId="532686C0" w14:textId="77777777" w:rsidR="00DC44BD" w:rsidRDefault="00000000">
      <w:pPr>
        <w:pStyle w:val="CDRParagraph"/>
      </w:pPr>
      <w:r>
        <w:rPr>
          <w:b/>
        </w:rPr>
        <w:t xml:space="preserve">Task complexity is a critical risk multiplier. </w:t>
      </w:r>
      <w:r>
        <w:t>The four-fold increase in ASR from the 11-class 2016 task (7–9%) to the 24-class 2018 task (31–35%) under identical perturbation constraints demonstrates that adversarial vulnerability does not remain constant as classification tasks grow more complex. Modern cognitive EW systems increasingly demand fine-grained waveform discrimination (distinguishing 64-QAM from 256-QAM, for example, or identifying specific emitter characteristics). Our results suggest that as these systems become more capable, they simultaneously become more vulnerable. This scaling relationship should inform system design: operators should expect adversarial robustness to degrade as classification granularity increases, and should plan defensive measures accordingly.</w:t>
      </w:r>
    </w:p>
    <w:p w14:paraId="080C4833" w14:textId="77777777" w:rsidR="00DC44BD" w:rsidRDefault="00000000">
      <w:pPr>
        <w:pStyle w:val="CDRParagraph"/>
      </w:pPr>
      <w:r>
        <w:rPr>
          <w:b/>
        </w:rPr>
        <w:t xml:space="preserve">Modulation-specific risk demands disaggregated assessment. </w:t>
      </w:r>
      <w:r>
        <w:t>The per-class ASR variation from below 1% (OOK, BPSK) to 99.6% (256-QAM) means that a single aggregate robustness metric inadequately characterizes system vulnerability. In an operational context, a classifier that is impervious to adversarial attack for simple modulations but completely compromised for high-order QAM may still be operationally useful if the mission only requires detecting the presence of wideband signals, but it would be dangerously unreliable for tasks requiring precise modulation identification across the full constellation family. Risk assessments should disaggregate adversarial vulnerability by modulation class and weight the results by the operational importance of correctly classifying each waveform type.</w:t>
      </w:r>
    </w:p>
    <w:p w14:paraId="5A3A74D6" w14:textId="77777777" w:rsidR="00DC44BD" w:rsidRDefault="00000000">
      <w:pPr>
        <w:pStyle w:val="CDRParagraph"/>
      </w:pPr>
      <w:r>
        <w:rPr>
          <w:b/>
        </w:rPr>
        <w:t xml:space="preserve">Fading provides accidental but unreliable robustness. </w:t>
      </w:r>
      <w:r>
        <w:t>Under Rayleigh fading, the stochastic channel decorrelates the adversarial gradient from the received signal, producing less than 0.3 pp of marginal adversarial damage at 10 dB on 2016. This observation suggests that the wireless channel itself acts as a natural defense mechanism. However, this apparent robustness rests on three fragile assumptions. First, it depends on the adversary lacking channel state information; a channel-aware adversary using expectation-over-transformation (EoT) techniques could compute gradients that account for the channel distribution. Second, our PGD implementation uses single-sample stochastic optimization at each step rather than multi-sample EoT gradient averaging, which likely understates the effectiveness of a sophisticated attacker. Third, our fading approximation (Section 6.2) is optimistic for the classifier. Military planners should not rely on propagation conditions as a substitute for deliberate adversarial hardening.</w:t>
      </w:r>
    </w:p>
    <w:p w14:paraId="0FA12B4F" w14:textId="77777777" w:rsidR="00DC44BD" w:rsidRDefault="00000000">
      <w:pPr>
        <w:pStyle w:val="CDRHeading2"/>
      </w:pPr>
      <w:r>
        <w:t>6.2  Limitations</w:t>
      </w:r>
    </w:p>
    <w:p w14:paraId="350728F3" w14:textId="77777777" w:rsidR="00DC44BD" w:rsidRDefault="00000000">
      <w:pPr>
        <w:pStyle w:val="CDRParagraph"/>
      </w:pPr>
      <w:r>
        <w:lastRenderedPageBreak/>
        <w:t>Several methodological limitations should be considered when interpreting our results.</w:t>
      </w:r>
    </w:p>
    <w:p w14:paraId="6EBAD568" w14:textId="77777777" w:rsidR="00DC44BD" w:rsidRDefault="00000000">
      <w:pPr>
        <w:pStyle w:val="CDRParagraph"/>
      </w:pPr>
      <w:r>
        <w:rPr>
          <w:b/>
        </w:rPr>
        <w:t xml:space="preserve">Fading channel approximation. </w:t>
      </w:r>
      <w:r>
        <w:t>Because RadioML samples contain baked-in AWGN at their labeled SNR, applying Rayleigh fading multiplies both signal and noise jointly: h · (x_clean + n) rather than the physically correct (h · x_clean) + n. In the correct formulation, fading attenuates the signal while noise power remains constant, degrading effective SNR. Our approximation preserves the original SNR through fading, making our fading results optimistic for the classifier and conservative for the attacker. In real propagation environments, fading-induced SNR degradation would further reduce baseline accuracy, potentially narrowing the gap between channel degradation and adversarial damage. This means our central finding (that channel impairments dominate adversarial perturbations) likely understates the true severity of channel effects.</w:t>
      </w:r>
    </w:p>
    <w:p w14:paraId="1099DC89" w14:textId="77777777" w:rsidR="00DC44BD" w:rsidRDefault="00000000">
      <w:pPr>
        <w:pStyle w:val="CDRParagraph"/>
      </w:pPr>
      <w:r>
        <w:rPr>
          <w:b/>
        </w:rPr>
        <w:t xml:space="preserve">Single-sample stochastic optimization. </w:t>
      </w:r>
      <w:r>
        <w:t>Our PGD implementation draws an independent channel realization at each optimization step rather than averaging gradients over multiple channel samples (expectation over transformation, or EoT). This means the adversarial gradient is computed with respect to a single channel draw, and the resulting perturbation is not optimized for the expected channel distribution. A multi-sample EoT adversary would compute more stable gradients and potentially achieve higher ASR, particularly under fading conditions where our single-sample approach shows substantial gradient decorrelation. The degree to which EoT would improve attack effectiveness under fading is an open empirical question that we leave to future work.</w:t>
      </w:r>
    </w:p>
    <w:p w14:paraId="79AE40DE" w14:textId="77777777" w:rsidR="00DC44BD" w:rsidRDefault="00000000">
      <w:pPr>
        <w:pStyle w:val="CDRParagraph"/>
      </w:pPr>
      <w:r>
        <w:rPr>
          <w:b/>
        </w:rPr>
        <w:t xml:space="preserve">Noise injection scope. </w:t>
      </w:r>
      <w:r>
        <w:t>Our noise injection defense is Gaussian data augmentation during training only, evaluated with a single deterministic forward pass at inference. This differs from full randomized smoothing (Cohen, Rosenfeld, and Kolter 2019), which averages predictions over multiple noise-perturbed copies of each input at inference time and provides certified robustness guarantees. The poor clean accuracy we observe for noise injection (52.96% on 2016, a 33 pp drop from baseline) may partly reflect the mismatch between training-time noise augmentation and deterministic inference. A proper randomized smoothing implementation with inference-time averaging might recover some clean accuracy while maintaining or improving robustness, though at significant computational cost that may be prohibitive for real-time EW applications.</w:t>
      </w:r>
    </w:p>
    <w:p w14:paraId="2CFB8155" w14:textId="77777777" w:rsidR="00DC44BD" w:rsidRDefault="00000000">
      <w:pPr>
        <w:pStyle w:val="CDRParagraph"/>
      </w:pPr>
      <w:r>
        <w:rPr>
          <w:b/>
        </w:rPr>
        <w:t xml:space="preserve">Synthetic channel models. </w:t>
      </w:r>
      <w:r>
        <w:t>Our differentiable channel layers implement idealized flat Rayleigh fading and constant CFO over each sample window. Real wireless channels exhibit frequency-selective fading with delay spreads that vary across the signal bandwidth, time-varying coherence intervals shorter than a single sample window, hardware nonlinearities from power amplifiers and analog-to-digital converters, and phase noise from local oscillators. The gap between our synthetic channels and real propagation conditions means that our channel augmentation defense may not transfer directly to over-the-air deployment without retraining on more realistic channel models or measured channel data.</w:t>
      </w:r>
    </w:p>
    <w:p w14:paraId="479D56F2" w14:textId="77777777" w:rsidR="00DC44BD" w:rsidRDefault="00000000">
      <w:pPr>
        <w:pStyle w:val="CDRParagraph"/>
      </w:pPr>
      <w:r>
        <w:rPr>
          <w:b/>
        </w:rPr>
        <w:t xml:space="preserve">Threat model scope. </w:t>
      </w:r>
      <w:r>
        <w:t xml:space="preserve">We evaluate the no-CSI white-box adversary, which represents the strongest attacker with respect to model knowledge but the weakest with respect to channel </w:t>
      </w:r>
      <w:r>
        <w:lastRenderedPageBreak/>
        <w:t>knowledge. A channel-adaptive adversary who estimates or knows the channel realization could design perturbations that survive the channel transform, potentially achieving substantially higher ASR than we report. Conversely, a black-box adversary without model access would likely achieve lower ASR. Our results therefore represent one point in a two-dimensional threat space (model knowledge vs. channel knowledge), and the full characterization of this space remains an important open problem.</w:t>
      </w:r>
    </w:p>
    <w:p w14:paraId="7A1D5D2C" w14:textId="77777777" w:rsidR="00DC44BD" w:rsidRDefault="00000000">
      <w:pPr>
        <w:pStyle w:val="CDRParagraph"/>
      </w:pPr>
      <w:r>
        <w:rPr>
          <w:b/>
        </w:rPr>
        <w:t xml:space="preserve">Dataset limitations. </w:t>
      </w:r>
      <w:r>
        <w:t>The absence of transferability evaluation on RadioML 2018.01a is a gap in our analysis; the higher baseline vulnerability of the 2018 classifier (31% ASR vs. 7% on 2016) may produce different transfer dynamics. Additionally, RadioML 2016.10a contains the known AM-SSB encoding artifact where the AM-SSB class is generated with incorrect parameters, which may inflate AM-DSB’s measured vulnerability (41.76% ASR) if adversarial perturbations exploit the resulting overlap in feature space. Our 2018 results are not affected by this artifact.</w:t>
      </w:r>
    </w:p>
    <w:p w14:paraId="538C6A54" w14:textId="77777777" w:rsidR="00DC44BD" w:rsidRDefault="00000000">
      <w:pPr>
        <w:pStyle w:val="CDRHeading2"/>
      </w:pPr>
      <w:r>
        <w:t>6.3  Future Work</w:t>
      </w:r>
    </w:p>
    <w:p w14:paraId="4CD7F068" w14:textId="77777777" w:rsidR="00DC44BD" w:rsidRDefault="00000000">
      <w:pPr>
        <w:pStyle w:val="CDRParagraph"/>
      </w:pPr>
      <w:r>
        <w:t>Our findings point to several concrete research directions that would strengthen the empirical foundation for adversarial robustness in RF classification systems.</w:t>
      </w:r>
    </w:p>
    <w:p w14:paraId="132EA219" w14:textId="77777777" w:rsidR="00DC44BD" w:rsidRDefault="00000000">
      <w:pPr>
        <w:pStyle w:val="CDRParagraph"/>
      </w:pPr>
      <w:r>
        <w:rPr>
          <w:b/>
        </w:rPr>
        <w:t xml:space="preserve">Channel-aware adversarial attacks. </w:t>
      </w:r>
      <w:r>
        <w:t>The most immediate extension is to evaluate adversaries with partial or full channel state information. A channel-aware attacker could pre-compensate perturbations for expected fading, potentially negating the gradient decorrelation effect we observe. Implementing multi-sample EoT attacks with 10–50 channel realizations per gradient step would quantify how much the apparent robustness under fading depends on our single-sample optimization procedure versus genuine channel-induced defense.</w:t>
      </w:r>
    </w:p>
    <w:p w14:paraId="7F0D442A" w14:textId="77777777" w:rsidR="00DC44BD" w:rsidRDefault="00000000">
      <w:pPr>
        <w:pStyle w:val="CDRParagraph"/>
      </w:pPr>
      <w:r>
        <w:rPr>
          <w:b/>
        </w:rPr>
        <w:t xml:space="preserve">Over-the-air validation. </w:t>
      </w:r>
      <w:r>
        <w:t>Translating our digital-domain results to physical RF environments using software-defined radios (SDRs) is essential for operational credibility. Over-the-air experiments would test whether adversarial perturbations crafted in the digital domain survive digital-to-analog conversion, power amplification, propagation, and receiver processing. Prior work (Bahramali et al. 2021) suggests significant degradation in the over-the-air pipeline, but a systematic comparison against our digital-domain baselines with matched channel conditions would quantify this gap precisely.</w:t>
      </w:r>
    </w:p>
    <w:p w14:paraId="3AFCEA1B" w14:textId="77777777" w:rsidR="00DC44BD" w:rsidRDefault="00000000">
      <w:pPr>
        <w:pStyle w:val="CDRParagraph"/>
      </w:pPr>
      <w:r>
        <w:rPr>
          <w:b/>
        </w:rPr>
        <w:t xml:space="preserve">Transferability on complex tasks. </w:t>
      </w:r>
      <w:r>
        <w:t>Our transferability analysis is limited to RadioML 2016.10a. Given that the 2018 classifier exhibits fundamentally different vulnerability characteristics (four-fold higher ASR, steeper budget sensitivity), transfer dynamics on 2018 may differ substantially. The higher-dimensional decision boundary geometry of the 24-class task could either increase transfer rates (more decision boundaries to cross) or decrease them (more diverse learned representations across defense strategies).</w:t>
      </w:r>
    </w:p>
    <w:p w14:paraId="13ADE866" w14:textId="77777777" w:rsidR="00DC44BD" w:rsidRDefault="00000000">
      <w:pPr>
        <w:pStyle w:val="CDRParagraph"/>
      </w:pPr>
      <w:r>
        <w:rPr>
          <w:b/>
        </w:rPr>
        <w:t xml:space="preserve">Defense optimization for complex tasks. </w:t>
      </w:r>
      <w:r>
        <w:t xml:space="preserve">The combined defense (adversarial training + channel augmentation) achieves the lowest ASR on 2018 (8.75%) but at severe cost to clean </w:t>
      </w:r>
      <w:r>
        <w:lastRenderedPageBreak/>
        <w:t>accuracy (40.50% vs. 90.72% baseline). Optimizing the adversarial training balance parameter α and exploring curriculum strategies that gradually increase perturbation strength during training could recover clean accuracy while maintaining robustness. Architecture-level modifications, such as larger model capacity or attention mechanisms, may also help the model jointly learn clean discrimination and adversarial robustness for complex tasks.</w:t>
      </w:r>
    </w:p>
    <w:p w14:paraId="11B95BB0" w14:textId="77777777" w:rsidR="00DC44BD" w:rsidRDefault="00000000">
      <w:pPr>
        <w:pStyle w:val="CDRParagraph"/>
      </w:pPr>
      <w:r>
        <w:rPr>
          <w:b/>
        </w:rPr>
        <w:t xml:space="preserve">Certified robustness bounds. </w:t>
      </w:r>
      <w:r>
        <w:t>Randomized smoothing provides certified L2 robustness guarantees for Gaussian noise, but extending these guarantees to non-Gaussian channel noise models (Rayleigh fading, CFO) remains an open theoretical problem. Developing certified bounds that account for multiplicative fading and phase rotation would provide formal guarantees rather than empirical estimates of robustness, which is particularly important for safety-critical military applications where worst-case performance bounds are required.</w:t>
      </w:r>
    </w:p>
    <w:p w14:paraId="0EFF1F1F" w14:textId="77777777" w:rsidR="00DC44BD" w:rsidRDefault="00000000">
      <w:pPr>
        <w:pStyle w:val="CDRHeading1"/>
      </w:pPr>
      <w:r>
        <w:t>7  CONCLUSION</w:t>
      </w:r>
    </w:p>
    <w:p w14:paraId="6C5993DE" w14:textId="77777777" w:rsidR="00DC44BD" w:rsidRDefault="00000000">
      <w:pPr>
        <w:pStyle w:val="CDRParagraph"/>
      </w:pPr>
      <w:r>
        <w:t>This paper presented a systematic evaluation of adversarial robustness for deep learning-based RF modulation classifiers under realistic channel impairments, spanning RadioML 2016.10a (11 modulations) and 2018.01a (24 modulations). Using L2 norm-ratio perturbation constraints and correct SNR evaluation, we demonstrate:</w:t>
      </w:r>
    </w:p>
    <w:p w14:paraId="438AA0E9" w14:textId="77777777" w:rsidR="00DC44BD" w:rsidRDefault="00000000">
      <w:pPr>
        <w:spacing w:after="80"/>
        <w:ind w:left="360"/>
      </w:pPr>
      <w:r>
        <w:rPr>
          <w:b/>
        </w:rPr>
        <w:t xml:space="preserve">(1) </w:t>
      </w:r>
      <w:r>
        <w:t>Under AWGN, adversarial attacks at ρ = 1% (-40 dB power ratio) achieve 7–9% ASR on 2016 and 31–35% on 2018. Both figures are substantially lower than prior reports using different constraints. Adversarial vulnerability scales with task complexity.</w:t>
      </w:r>
    </w:p>
    <w:p w14:paraId="384BEED3" w14:textId="77777777" w:rsidR="00DC44BD" w:rsidRDefault="00000000">
      <w:pPr>
        <w:spacing w:after="80"/>
        <w:ind w:left="360"/>
      </w:pPr>
      <w:r>
        <w:rPr>
          <w:b/>
        </w:rPr>
        <w:t xml:space="preserve">(2) </w:t>
      </w:r>
      <w:r>
        <w:t>Channel impairments cause far more degradation than adversarial perturbations: fading reduces accuracy by 38–64 pp vs. 7–28 pp from PGD. The marginal damage of adversarial perturbations on top of channel degradation is modest, as fading decorrelates the adversarial gradient.</w:t>
      </w:r>
    </w:p>
    <w:p w14:paraId="5415E8DF" w14:textId="77777777" w:rsidR="00DC44BD" w:rsidRDefault="00000000">
      <w:pPr>
        <w:spacing w:after="80"/>
        <w:ind w:left="360"/>
      </w:pPr>
      <w:r>
        <w:rPr>
          <w:b/>
        </w:rPr>
        <w:t xml:space="preserve">(3) </w:t>
      </w:r>
      <w:r>
        <w:t>Channel augmentation is the most efficient defense (largest ASR reduction per training hour). The combined defense achieves the lowest ASR of 1.30% on 2016 and 8.75% on 2018, at approximately 6x the training cost.</w:t>
      </w:r>
    </w:p>
    <w:p w14:paraId="67939325" w14:textId="77777777" w:rsidR="00DC44BD" w:rsidRDefault="00000000">
      <w:pPr>
        <w:spacing w:after="80"/>
        <w:ind w:left="360"/>
      </w:pPr>
      <w:r>
        <w:rPr>
          <w:b/>
        </w:rPr>
        <w:t xml:space="preserve">(4) </w:t>
      </w:r>
      <w:r>
        <w:t>Per-class vulnerability varies from below 1% ASR (OOK, BPSK) to 99.6% (256-QAM), requiring modulation-specific risk assessment.</w:t>
      </w:r>
    </w:p>
    <w:p w14:paraId="2380CE01" w14:textId="77777777" w:rsidR="00DC44BD" w:rsidRDefault="00000000">
      <w:pPr>
        <w:spacing w:after="160"/>
        <w:ind w:left="360"/>
      </w:pPr>
      <w:r>
        <w:rPr>
          <w:b/>
        </w:rPr>
        <w:t xml:space="preserve">(5) </w:t>
      </w:r>
      <w:r>
        <w:t>The evaluation methodology correction (avoiding double-noising) is itself a contribution affecting the quantitative picture of adversarial vulnerability.</w:t>
      </w:r>
    </w:p>
    <w:p w14:paraId="1F6BD4DB" w14:textId="77777777" w:rsidR="00DC44BD" w:rsidRDefault="00000000">
      <w:pPr>
        <w:pStyle w:val="CDRParagraph"/>
      </w:pPr>
      <w:r>
        <w:t>For military organizations investing in cognitive EW capabilities, channel-robust classifier design should be prioritized alongside adversarial hardening, threat assessments based on norm-bounded attacks may overestimate vulnerability, and adversarial risk scales significantly with classification task complexity.</w:t>
      </w:r>
    </w:p>
    <w:p w14:paraId="741F66F7" w14:textId="77777777" w:rsidR="00DC44BD" w:rsidRDefault="00000000">
      <w:pPr>
        <w:pStyle w:val="CDRHeading1"/>
      </w:pPr>
      <w:r>
        <w:t>DISCLOSURE</w:t>
      </w:r>
    </w:p>
    <w:p w14:paraId="73BDF682" w14:textId="77777777" w:rsidR="00DC44BD" w:rsidRDefault="00000000">
      <w:pPr>
        <w:pStyle w:val="CDRParagraph"/>
      </w:pPr>
      <w:r>
        <w:lastRenderedPageBreak/>
        <w:t>Large language model tools were used for code review, manuscript editing, and formatting assistance during the preparation of this work. All experimental design, implementation, analysis, and scientific interpretation were conducted by the author. The use of AI tools was limited to language polishing and document preparation tasks.</w:t>
      </w:r>
    </w:p>
    <w:p w14:paraId="6CF6907D" w14:textId="151074B0" w:rsidR="00DC44BD" w:rsidRDefault="00000000" w:rsidP="005E47B5">
      <w:pPr>
        <w:pStyle w:val="CDRHeading1"/>
      </w:pPr>
      <w:r>
        <w:t>REFERENCES</w:t>
      </w:r>
    </w:p>
    <w:p w14:paraId="4A11ECD1" w14:textId="77777777" w:rsidR="00DC44BD" w:rsidRDefault="00DC44BD"/>
    <w:p w14:paraId="2CB6ECDD" w14:textId="77777777" w:rsidR="00DC44BD" w:rsidRDefault="00000000">
      <w:pPr>
        <w:spacing w:after="80"/>
        <w:ind w:left="720" w:hanging="720"/>
      </w:pPr>
      <w:r>
        <w:t>Bahramali, Alireza, Milad Nasr, Amir Houmansadr, Dennis Goeckel, and Don Towsley. 2021. “Robust Adversarial Attacks Against DNN-Based Wireless Communication Systems.” In Proceedings of the 2021 ACM SIGSAC Conference on Computer and Communications Security (CCS ’21), 126–140. ACM.</w:t>
      </w:r>
    </w:p>
    <w:p w14:paraId="00A99316" w14:textId="77777777" w:rsidR="00DC44BD" w:rsidRDefault="00000000">
      <w:pPr>
        <w:spacing w:after="80"/>
        <w:ind w:left="720" w:hanging="720"/>
      </w:pPr>
      <w:r>
        <w:t>Carlini, Nicholas, and David Wagner. 2017. “Towards Evaluating the Robustness of Neural Networks.” In 2017 IEEE Symposium on Security and Privacy (SP), 39–57. IEEE.</w:t>
      </w:r>
    </w:p>
    <w:p w14:paraId="047C5A55" w14:textId="77777777" w:rsidR="00DC44BD" w:rsidRDefault="00000000">
      <w:pPr>
        <w:spacing w:after="80"/>
        <w:ind w:left="720" w:hanging="720"/>
      </w:pPr>
      <w:r>
        <w:t>Cohen, Jeremy M., Elan Rosenfeld, and J. Zico Kolter. 2019. “Certified Adversarial Robustness via Randomized Smoothing.” In International Conference on Machine Learning (ICML), 1310–1320.</w:t>
      </w:r>
    </w:p>
    <w:p w14:paraId="31A23038" w14:textId="77777777" w:rsidR="00DC44BD" w:rsidRDefault="00000000">
      <w:pPr>
        <w:spacing w:after="80"/>
        <w:ind w:left="720" w:hanging="720"/>
      </w:pPr>
      <w:r>
        <w:t>Defense Advanced Research Projects Agency. 2018. “Radio Frequency Machine Learning Systems (RFMLS).” https://www.darpa.mil/program/radio-frequency-machine-learning-systems.</w:t>
      </w:r>
    </w:p>
    <w:p w14:paraId="3620A24F" w14:textId="77777777" w:rsidR="00DC44BD" w:rsidRDefault="00000000">
      <w:pPr>
        <w:spacing w:after="80"/>
        <w:ind w:left="720" w:hanging="720"/>
      </w:pPr>
      <w:r>
        <w:t>Ke, Da, Shen Wang, and Lianfen Huang. 2024. “Frequency-Selective Adversarial Attack Against Deep Learning-Based Wireless Signal Classifiers.” IEEE Transactions on Information Forensics and Security 19: 4001–4011.</w:t>
      </w:r>
    </w:p>
    <w:p w14:paraId="1CFF773F" w14:textId="77777777" w:rsidR="00DC44BD" w:rsidRDefault="00000000">
      <w:pPr>
        <w:spacing w:after="80"/>
        <w:ind w:left="720" w:hanging="720"/>
      </w:pPr>
      <w:r>
        <w:t>Lu, Hui, Ruoliu Zhang, Shiqi Wang, and Yuhui Shi. 2025. “Robustness Assessment of DL-Based Automatic Modulation Classification Model via Channel-Aware Adversarial Perturbation.” IEEE Transactions on Cognitive Communications and Networking (early access).</w:t>
      </w:r>
    </w:p>
    <w:p w14:paraId="0F8E7326" w14:textId="77777777" w:rsidR="00DC44BD" w:rsidRDefault="00000000">
      <w:pPr>
        <w:spacing w:after="80"/>
        <w:ind w:left="720" w:hanging="720"/>
      </w:pPr>
      <w:r>
        <w:t>Flowers, Bryse, R. Michael Buehrer, and William C. Headley. 2019. “Evaluating Adversarial Evasion Attacks in the Context of Wireless Communications.” IEEE Transactions on Information Forensics and Security 15: 1102–1113.</w:t>
      </w:r>
    </w:p>
    <w:p w14:paraId="66E42250" w14:textId="77777777" w:rsidR="00DC44BD" w:rsidRDefault="00000000">
      <w:pPr>
        <w:spacing w:after="80"/>
        <w:ind w:left="720" w:hanging="720"/>
      </w:pPr>
      <w:r>
        <w:t>Goodfellow, Ian J., Jonathon Shlens, and Christian Szegedy. 2015. “Explaining and Harnessing Adversarial Examples.” arXiv preprint arXiv:1412.6572.</w:t>
      </w:r>
    </w:p>
    <w:p w14:paraId="59054907" w14:textId="77777777" w:rsidR="00DC44BD" w:rsidRDefault="00000000">
      <w:pPr>
        <w:spacing w:after="80"/>
        <w:ind w:left="720" w:hanging="720"/>
      </w:pPr>
      <w:r>
        <w:t>Haigh, Karen Z., and Julia Andrusenko. 2021. Cognitive Electronic Warfare: An Artificial Intelligence Approach. Norwood, MA: Artech House.</w:t>
      </w:r>
    </w:p>
    <w:p w14:paraId="3ACF75F3" w14:textId="77777777" w:rsidR="00DC44BD" w:rsidRDefault="00000000">
      <w:pPr>
        <w:spacing w:after="80"/>
        <w:ind w:left="720" w:hanging="720"/>
      </w:pPr>
      <w:r>
        <w:t>Hameed, Muhammad Zaid, Andras Gyorgy, and Deniz Gunduz. 2021. “The Best Defense Is a Good Offense: Adversarial Attacks to Avoid Modulation Detection.” IEEE Transactions on Information Forensics and Security 16: 1074–1087.</w:t>
      </w:r>
    </w:p>
    <w:p w14:paraId="43ECAE0A" w14:textId="77777777" w:rsidR="00DC44BD" w:rsidRDefault="00000000">
      <w:pPr>
        <w:spacing w:after="80"/>
        <w:ind w:left="720" w:hanging="720"/>
      </w:pPr>
      <w:r>
        <w:t>Kim, Brian, Yalin Evren Sagduyu, Kemal Davaslioglu, Tugba Erpek, and Sennur Ulukus. 2022. “Channel-Aware Adversarial Attacks Against Deep Learning-Based Wireless Signal Classifiers.” IEEE Transactions on Wireless Communications 21 (6): 3868–3880.</w:t>
      </w:r>
    </w:p>
    <w:p w14:paraId="69DD8967" w14:textId="77777777" w:rsidR="00DC44BD" w:rsidRDefault="00000000">
      <w:pPr>
        <w:spacing w:after="80"/>
        <w:ind w:left="720" w:hanging="720"/>
      </w:pPr>
      <w:r>
        <w:lastRenderedPageBreak/>
        <w:t>Lin, Yun, Haojun Zhao, Ya Tu, Siming Mao, and Zhida Dou. 2020. “Threats of Adversarial Attacks in DNN-Based Modulation Recognition.” In IEEE INFOCOM 2020, 2469–2478. IEEE.</w:t>
      </w:r>
    </w:p>
    <w:p w14:paraId="72ED111A" w14:textId="77777777" w:rsidR="00DC44BD" w:rsidRDefault="00000000">
      <w:pPr>
        <w:spacing w:after="80"/>
        <w:ind w:left="720" w:hanging="720"/>
      </w:pPr>
      <w:r>
        <w:t>Liu, Xiaoyu, Diyu Yang, and Aly El Gamal. 2017. “Deep Neural Network Architectures for Modulation Classification.” In 2017 51st Asilomar Conference on Signals, Systems, and Computers, 915–919. IEEE.</w:t>
      </w:r>
    </w:p>
    <w:p w14:paraId="0BB606BD" w14:textId="77777777" w:rsidR="00DC44BD" w:rsidRDefault="00000000">
      <w:pPr>
        <w:spacing w:after="80"/>
        <w:ind w:left="720" w:hanging="720"/>
      </w:pPr>
      <w:r>
        <w:t>Madry, Aleksander, Aleksandar Makelov, Ludwig Schmidt, Dimitris Tsipras, and Adrian Vladu. 2018. “Towards Deep Learning Models Resistant to Adversarial Attacks.” In International Conference on Learning Representations (ICLR).</w:t>
      </w:r>
    </w:p>
    <w:p w14:paraId="612D308A" w14:textId="77777777" w:rsidR="00DC44BD" w:rsidRDefault="00000000">
      <w:pPr>
        <w:spacing w:after="80"/>
        <w:ind w:left="720" w:hanging="720"/>
      </w:pPr>
      <w:r>
        <w:t>O’Shea, Timothy James, Johnathan Corgan, and T. Charles Clancy. 2016. “Convolutional Radio Modulation Recognition Networks.” In Engineering Applications of Neural Networks: 17th International Conference, EANN 2016, 213–226. Springer.</w:t>
      </w:r>
    </w:p>
    <w:p w14:paraId="1DABFA99" w14:textId="77777777" w:rsidR="00DC44BD" w:rsidRDefault="00000000">
      <w:pPr>
        <w:spacing w:after="80"/>
        <w:ind w:left="720" w:hanging="720"/>
      </w:pPr>
      <w:r>
        <w:t>Perenda, Electra, Gerome Bovet, Marija Zheleva, and Sofie Pollin. 2024. “Channel and Hardware Impairment Data Augmentation for Robust Modulation Classification.” IEEE Transactions on Cognitive Communications and Networking 10 (4): 1263–1279.</w:t>
      </w:r>
    </w:p>
    <w:p w14:paraId="69B9789A" w14:textId="77777777" w:rsidR="00DC44BD" w:rsidRDefault="00000000">
      <w:pPr>
        <w:spacing w:after="80"/>
        <w:ind w:left="720" w:hanging="720"/>
      </w:pPr>
      <w:r>
        <w:t>O’Shea, Timothy James, Tamoghna Roy, and T. Charles Clancy. 2018. “Over-the-Air Deep Learning Based Radio Signal Classification.” IEEE Journal of Selected Topics in Signal Processing 12 (1): 168–179.</w:t>
      </w:r>
    </w:p>
    <w:p w14:paraId="0B548E8E" w14:textId="77777777" w:rsidR="00DC44BD" w:rsidRDefault="00000000">
      <w:pPr>
        <w:spacing w:after="80"/>
        <w:ind w:left="720" w:hanging="720"/>
      </w:pPr>
      <w:r>
        <w:t>Rajendran, Sreeraj, Wannes Meert, Domenico Giustiniano, Vincent Lenders, and Sofie Pollin. 2018. “Deep Learning Models for Wireless Signal Classification with Distributed Low-Cost Spectrum Sensors.” IEEE Transactions on Cognitive Communications and Networking 4 (3): 433–445.</w:t>
      </w:r>
    </w:p>
    <w:p w14:paraId="45ED928F" w14:textId="77777777" w:rsidR="00DC44BD" w:rsidRDefault="00000000">
      <w:pPr>
        <w:spacing w:after="80"/>
        <w:ind w:left="720" w:hanging="720"/>
      </w:pPr>
      <w:r>
        <w:t>Rappaport, Theodore S. 2002. Wireless Communications: Principles and Practice. 2nd ed. Prentice Hall.</w:t>
      </w:r>
    </w:p>
    <w:p w14:paraId="461C61E6" w14:textId="77777777" w:rsidR="00DC44BD" w:rsidRDefault="00000000">
      <w:pPr>
        <w:spacing w:after="80"/>
        <w:ind w:left="720" w:hanging="720"/>
      </w:pPr>
      <w:r>
        <w:t>Restuccia, Francesco, Salvatore D’Oro, Amani Al-Shawabka, Michele Belgiovine, Luca Angioloni, Stratis Ioannidis, Kaushik Chowdhury, and Tommaso Melodia. 2019. “DeepRadioID: Real-Time Channel-Resilient Optimization of Deep Learning-Based Radio Fingerprinting Algorithms.” In Proceedings of the Twentieth ACM International Symposium on Mobile Ad Hoc Networking and Computing (MobiHoc ’19). ACM.</w:t>
      </w:r>
    </w:p>
    <w:p w14:paraId="49E48840" w14:textId="77777777" w:rsidR="00DC44BD" w:rsidRDefault="00000000">
      <w:pPr>
        <w:spacing w:after="80"/>
        <w:ind w:left="720" w:hanging="720"/>
      </w:pPr>
      <w:r>
        <w:t>Sadeghi, Meysam, and Erik G. Larsson. 2018. “Adversarial Attacks on Deep-Learning Based Radio Signal Classification.” In 2018 IEEE International Workshop on Signal Processing Advances in Wireless Communications (SPAWC), 1–5. IEEE.</w:t>
      </w:r>
    </w:p>
    <w:p w14:paraId="5F4BD4F7" w14:textId="77777777" w:rsidR="00DC44BD" w:rsidRDefault="00000000">
      <w:pPr>
        <w:spacing w:after="80"/>
        <w:ind w:left="720" w:hanging="720"/>
      </w:pPr>
      <w:r>
        <w:t>Sagduyu, Yalin E., Tugba Erpek, and Yi Shi. 2019. “Adversarial Deep Learning for Over-the-Air Spectrum Poisoning Attacks.” IEEE Transactions on Mobile Computing 20 (2): 306–319.</w:t>
      </w:r>
    </w:p>
    <w:p w14:paraId="7B360023" w14:textId="77777777" w:rsidR="00DC44BD" w:rsidRDefault="00000000">
      <w:pPr>
        <w:spacing w:after="80"/>
        <w:ind w:left="720" w:hanging="720"/>
      </w:pPr>
      <w:r>
        <w:t>Salman, Hadi, Jerry Li, Ilya Razenshteyn, Pengchuan Zhang, Huan Zhang, Sebastien Bubeck, and Greg Yang. 2019. “Provably Robust Deep Learning via Adversarially Trained Smoothed Classifiers.” In Advances in Neural Information Processing Systems (NeurIPS) 32.</w:t>
      </w:r>
    </w:p>
    <w:p w14:paraId="61B03AF2" w14:textId="77777777" w:rsidR="00DC44BD" w:rsidRDefault="00000000">
      <w:pPr>
        <w:spacing w:after="80"/>
        <w:ind w:left="720" w:hanging="720"/>
      </w:pPr>
      <w:r>
        <w:lastRenderedPageBreak/>
        <w:t>Shafahi, Ali, Mahyar Najibi, Mohammad Amin Ghiasi, Zheng Xu, John Dickerson, Christoph Studer, Larry S. Davis, Gavin Taylor, and Tom Goldstein. 2019. “Adversarial Training for Free!” In Advances in Neural Information Processing Systems (NeurIPS) 32.</w:t>
      </w:r>
    </w:p>
    <w:p w14:paraId="40D235E6" w14:textId="77777777" w:rsidR="00DC44BD" w:rsidRDefault="00000000">
      <w:pPr>
        <w:spacing w:after="80"/>
        <w:ind w:left="720" w:hanging="720"/>
      </w:pPr>
      <w:r>
        <w:t>U.S. Department of Defense. 2019. “Summary of the 2018 Department of Defense Artificial Intelligence Strategy.” https://media.defense.gov/2019/Feb/12/2002088963/-1/-1/1/SUMMARY-OF-DOD-AI-STRATEGY.PDF.</w:t>
      </w:r>
    </w:p>
    <w:p w14:paraId="5B6A862E" w14:textId="77777777" w:rsidR="00DC44BD" w:rsidRDefault="00000000">
      <w:pPr>
        <w:spacing w:after="80"/>
        <w:ind w:left="720" w:hanging="720"/>
      </w:pPr>
      <w:r>
        <w:t>West, Nathan E., and Timothy O’Shea. 2017. “Deep Architectures for Modulation Recognition.” In 2017 IEEE International Symposium on Dynamic Spectrum Access Networks (DySPAN), 1–6. IEEE.</w:t>
      </w:r>
    </w:p>
    <w:sectPr w:rsidR="00DC44BD" w:rsidSect="00553277">
      <w:pgSz w:w="12240" w:h="15840"/>
      <w:pgMar w:top="1699" w:right="1728" w:bottom="1699"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FEB1" w14:textId="77777777" w:rsidR="007C1228" w:rsidRDefault="007C1228" w:rsidP="00164459">
      <w:r>
        <w:separator/>
      </w:r>
    </w:p>
  </w:endnote>
  <w:endnote w:type="continuationSeparator" w:id="0">
    <w:p w14:paraId="133E88D6" w14:textId="77777777" w:rsidR="007C1228" w:rsidRDefault="007C1228" w:rsidP="00164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Open Sans Condensed SemiBold">
    <w:altName w:val="Segoe UI"/>
    <w:panose1 w:val="020B0604020202020204"/>
    <w:charset w:val="00"/>
    <w:family w:val="auto"/>
    <w:pitch w:val="variable"/>
    <w:sig w:usb0="E00002FF" w:usb1="4000201B" w:usb2="00000028" w:usb3="00000000" w:csb0="0000019F" w:csb1="00000000"/>
  </w:font>
  <w:font w:name="Open Sans Condensed">
    <w:altName w:val="Segoe UI"/>
    <w:panose1 w:val="020B0604020202020204"/>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Open Sans Condensed Light">
    <w:altName w:val="Segoe UI"/>
    <w:panose1 w:val="020B0604020202020204"/>
    <w:charset w:val="00"/>
    <w:family w:val="auto"/>
    <w:pitch w:val="variable"/>
    <w:sig w:usb0="E00002FF" w:usb1="4000201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71B6" w14:textId="77777777" w:rsidR="007C1228" w:rsidRDefault="007C1228" w:rsidP="00164459">
      <w:r>
        <w:separator/>
      </w:r>
    </w:p>
  </w:footnote>
  <w:footnote w:type="continuationSeparator" w:id="0">
    <w:p w14:paraId="6DF2F283" w14:textId="77777777" w:rsidR="007C1228" w:rsidRDefault="007C1228" w:rsidP="00164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46E9"/>
    <w:multiLevelType w:val="multilevel"/>
    <w:tmpl w:val="3FD2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7A7A5D"/>
    <w:multiLevelType w:val="multilevel"/>
    <w:tmpl w:val="0E7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A15C2"/>
    <w:multiLevelType w:val="multilevel"/>
    <w:tmpl w:val="E31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32135"/>
    <w:multiLevelType w:val="hybridMultilevel"/>
    <w:tmpl w:val="5802D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6032F2"/>
    <w:multiLevelType w:val="hybridMultilevel"/>
    <w:tmpl w:val="17FC71B2"/>
    <w:lvl w:ilvl="0" w:tplc="419C4C04">
      <w:start w:val="1"/>
      <w:numFmt w:val="bullet"/>
      <w:pStyle w:val="CDR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316B3C"/>
    <w:multiLevelType w:val="multilevel"/>
    <w:tmpl w:val="741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949FC"/>
    <w:multiLevelType w:val="multilevel"/>
    <w:tmpl w:val="F52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9E3C2C"/>
    <w:multiLevelType w:val="hybridMultilevel"/>
    <w:tmpl w:val="6A56D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36671">
    <w:abstractNumId w:val="0"/>
  </w:num>
  <w:num w:numId="2" w16cid:durableId="2124421655">
    <w:abstractNumId w:val="6"/>
  </w:num>
  <w:num w:numId="3" w16cid:durableId="244613074">
    <w:abstractNumId w:val="4"/>
  </w:num>
  <w:num w:numId="4" w16cid:durableId="985624435">
    <w:abstractNumId w:val="3"/>
  </w:num>
  <w:num w:numId="5" w16cid:durableId="1863084305">
    <w:abstractNumId w:val="1"/>
  </w:num>
  <w:num w:numId="6" w16cid:durableId="1007057083">
    <w:abstractNumId w:val="7"/>
  </w:num>
  <w:num w:numId="7" w16cid:durableId="272134001">
    <w:abstractNumId w:val="2"/>
  </w:num>
  <w:num w:numId="8" w16cid:durableId="676465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59"/>
    <w:rsid w:val="0002110A"/>
    <w:rsid w:val="00050188"/>
    <w:rsid w:val="00062B10"/>
    <w:rsid w:val="000A5DD4"/>
    <w:rsid w:val="000B5DCB"/>
    <w:rsid w:val="000D21B9"/>
    <w:rsid w:val="001015A8"/>
    <w:rsid w:val="0011099E"/>
    <w:rsid w:val="0011636B"/>
    <w:rsid w:val="00121961"/>
    <w:rsid w:val="00123C92"/>
    <w:rsid w:val="00124A07"/>
    <w:rsid w:val="001409C7"/>
    <w:rsid w:val="00157C10"/>
    <w:rsid w:val="001624E6"/>
    <w:rsid w:val="00163181"/>
    <w:rsid w:val="00164459"/>
    <w:rsid w:val="001664A9"/>
    <w:rsid w:val="001E106E"/>
    <w:rsid w:val="002175E9"/>
    <w:rsid w:val="00231B33"/>
    <w:rsid w:val="002356A3"/>
    <w:rsid w:val="002519DF"/>
    <w:rsid w:val="00257957"/>
    <w:rsid w:val="00291ECC"/>
    <w:rsid w:val="002A3C63"/>
    <w:rsid w:val="002B034B"/>
    <w:rsid w:val="002C4904"/>
    <w:rsid w:val="002D0AFC"/>
    <w:rsid w:val="002D18FB"/>
    <w:rsid w:val="002D2BB2"/>
    <w:rsid w:val="002F19B7"/>
    <w:rsid w:val="003150FE"/>
    <w:rsid w:val="003678AD"/>
    <w:rsid w:val="00380832"/>
    <w:rsid w:val="00386363"/>
    <w:rsid w:val="003D04FD"/>
    <w:rsid w:val="003D258F"/>
    <w:rsid w:val="003F7388"/>
    <w:rsid w:val="004678AD"/>
    <w:rsid w:val="00477D90"/>
    <w:rsid w:val="00483814"/>
    <w:rsid w:val="004A355A"/>
    <w:rsid w:val="004A48E1"/>
    <w:rsid w:val="004C60C0"/>
    <w:rsid w:val="004E43F6"/>
    <w:rsid w:val="00502B5C"/>
    <w:rsid w:val="00517C65"/>
    <w:rsid w:val="005431C1"/>
    <w:rsid w:val="0054757E"/>
    <w:rsid w:val="00551310"/>
    <w:rsid w:val="00553277"/>
    <w:rsid w:val="00553A3C"/>
    <w:rsid w:val="005637BA"/>
    <w:rsid w:val="00564A50"/>
    <w:rsid w:val="00571B31"/>
    <w:rsid w:val="005731BF"/>
    <w:rsid w:val="00590BDA"/>
    <w:rsid w:val="005951E2"/>
    <w:rsid w:val="005A1667"/>
    <w:rsid w:val="005A55B1"/>
    <w:rsid w:val="005B42A5"/>
    <w:rsid w:val="005B46A3"/>
    <w:rsid w:val="005C127A"/>
    <w:rsid w:val="005E47B5"/>
    <w:rsid w:val="005F20AE"/>
    <w:rsid w:val="006075A3"/>
    <w:rsid w:val="0063237C"/>
    <w:rsid w:val="006350CB"/>
    <w:rsid w:val="00662933"/>
    <w:rsid w:val="00663F17"/>
    <w:rsid w:val="00672914"/>
    <w:rsid w:val="006A55F4"/>
    <w:rsid w:val="006A5EA5"/>
    <w:rsid w:val="006B4F86"/>
    <w:rsid w:val="006D0434"/>
    <w:rsid w:val="006E0A16"/>
    <w:rsid w:val="006E59EA"/>
    <w:rsid w:val="00745454"/>
    <w:rsid w:val="00747022"/>
    <w:rsid w:val="0075410B"/>
    <w:rsid w:val="0078086B"/>
    <w:rsid w:val="0078404C"/>
    <w:rsid w:val="00787F3D"/>
    <w:rsid w:val="007930CE"/>
    <w:rsid w:val="007943C5"/>
    <w:rsid w:val="007A7F76"/>
    <w:rsid w:val="007B0145"/>
    <w:rsid w:val="007C1228"/>
    <w:rsid w:val="007C342B"/>
    <w:rsid w:val="007E24F0"/>
    <w:rsid w:val="0083766C"/>
    <w:rsid w:val="008574EF"/>
    <w:rsid w:val="00860598"/>
    <w:rsid w:val="00872E4E"/>
    <w:rsid w:val="00891766"/>
    <w:rsid w:val="008A3634"/>
    <w:rsid w:val="008C25BF"/>
    <w:rsid w:val="008D64DD"/>
    <w:rsid w:val="008F29C4"/>
    <w:rsid w:val="00925C9E"/>
    <w:rsid w:val="00931155"/>
    <w:rsid w:val="00946171"/>
    <w:rsid w:val="00950CDF"/>
    <w:rsid w:val="009C03D4"/>
    <w:rsid w:val="009C1778"/>
    <w:rsid w:val="009E1853"/>
    <w:rsid w:val="009E293F"/>
    <w:rsid w:val="009E6B8A"/>
    <w:rsid w:val="00A050FA"/>
    <w:rsid w:val="00A45FF9"/>
    <w:rsid w:val="00A60956"/>
    <w:rsid w:val="00A712E8"/>
    <w:rsid w:val="00A80264"/>
    <w:rsid w:val="00A80D03"/>
    <w:rsid w:val="00A94695"/>
    <w:rsid w:val="00AC3E0B"/>
    <w:rsid w:val="00AC4B68"/>
    <w:rsid w:val="00AC6220"/>
    <w:rsid w:val="00AE7F0C"/>
    <w:rsid w:val="00B04925"/>
    <w:rsid w:val="00B15D0A"/>
    <w:rsid w:val="00B30184"/>
    <w:rsid w:val="00B3302B"/>
    <w:rsid w:val="00B73926"/>
    <w:rsid w:val="00BB35C6"/>
    <w:rsid w:val="00BD229F"/>
    <w:rsid w:val="00C00EBC"/>
    <w:rsid w:val="00C04347"/>
    <w:rsid w:val="00C11305"/>
    <w:rsid w:val="00C121AC"/>
    <w:rsid w:val="00C33409"/>
    <w:rsid w:val="00C456D0"/>
    <w:rsid w:val="00C67780"/>
    <w:rsid w:val="00C85ED3"/>
    <w:rsid w:val="00C90E57"/>
    <w:rsid w:val="00CA5CD6"/>
    <w:rsid w:val="00CB65EC"/>
    <w:rsid w:val="00CC29B9"/>
    <w:rsid w:val="00CC2CD6"/>
    <w:rsid w:val="00D119BB"/>
    <w:rsid w:val="00D41B63"/>
    <w:rsid w:val="00D6240A"/>
    <w:rsid w:val="00D671FD"/>
    <w:rsid w:val="00D8102F"/>
    <w:rsid w:val="00DC44BD"/>
    <w:rsid w:val="00DE316B"/>
    <w:rsid w:val="00DF01CD"/>
    <w:rsid w:val="00DF6B7A"/>
    <w:rsid w:val="00E33CA1"/>
    <w:rsid w:val="00E433DA"/>
    <w:rsid w:val="00E55A4B"/>
    <w:rsid w:val="00E55D6D"/>
    <w:rsid w:val="00E65DBA"/>
    <w:rsid w:val="00EA5D6B"/>
    <w:rsid w:val="00EA746C"/>
    <w:rsid w:val="00EB7019"/>
    <w:rsid w:val="00EC3F7D"/>
    <w:rsid w:val="00F02466"/>
    <w:rsid w:val="00F04CA3"/>
    <w:rsid w:val="00F24101"/>
    <w:rsid w:val="00F25B1F"/>
    <w:rsid w:val="00F35570"/>
    <w:rsid w:val="00F406AB"/>
    <w:rsid w:val="00F477C9"/>
    <w:rsid w:val="00F565A7"/>
    <w:rsid w:val="00F9103F"/>
    <w:rsid w:val="00F95B58"/>
    <w:rsid w:val="00FB6805"/>
    <w:rsid w:val="00FE6063"/>
    <w:rsid w:val="00FF2038"/>
    <w:rsid w:val="00FF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DCEB"/>
  <w15:chartTrackingRefBased/>
  <w15:docId w15:val="{29D809C6-FB87-2A40-890E-EE89E4F5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0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164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4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4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4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4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459"/>
    <w:rPr>
      <w:rFonts w:eastAsiaTheme="majorEastAsia" w:cstheme="majorBidi"/>
      <w:color w:val="272727" w:themeColor="text1" w:themeTint="D8"/>
    </w:rPr>
  </w:style>
  <w:style w:type="paragraph" w:styleId="Title">
    <w:name w:val="Title"/>
    <w:basedOn w:val="Normal"/>
    <w:next w:val="Normal"/>
    <w:link w:val="TitleChar"/>
    <w:uiPriority w:val="10"/>
    <w:qFormat/>
    <w:rsid w:val="001644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4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4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459"/>
    <w:rPr>
      <w:i/>
      <w:iCs/>
      <w:color w:val="404040" w:themeColor="text1" w:themeTint="BF"/>
    </w:rPr>
  </w:style>
  <w:style w:type="paragraph" w:styleId="ListParagraph">
    <w:name w:val="List Paragraph"/>
    <w:basedOn w:val="Normal"/>
    <w:uiPriority w:val="34"/>
    <w:qFormat/>
    <w:rsid w:val="00164459"/>
    <w:pPr>
      <w:ind w:left="720"/>
      <w:contextualSpacing/>
    </w:pPr>
  </w:style>
  <w:style w:type="character" w:styleId="IntenseEmphasis">
    <w:name w:val="Intense Emphasis"/>
    <w:basedOn w:val="DefaultParagraphFont"/>
    <w:uiPriority w:val="21"/>
    <w:qFormat/>
    <w:rsid w:val="00164459"/>
    <w:rPr>
      <w:i/>
      <w:iCs/>
      <w:color w:val="0F4761" w:themeColor="accent1" w:themeShade="BF"/>
    </w:rPr>
  </w:style>
  <w:style w:type="paragraph" w:styleId="IntenseQuote">
    <w:name w:val="Intense Quote"/>
    <w:basedOn w:val="Normal"/>
    <w:next w:val="Normal"/>
    <w:link w:val="IntenseQuoteChar"/>
    <w:uiPriority w:val="30"/>
    <w:qFormat/>
    <w:rsid w:val="00164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459"/>
    <w:rPr>
      <w:i/>
      <w:iCs/>
      <w:color w:val="0F4761" w:themeColor="accent1" w:themeShade="BF"/>
    </w:rPr>
  </w:style>
  <w:style w:type="character" w:styleId="IntenseReference">
    <w:name w:val="Intense Reference"/>
    <w:basedOn w:val="DefaultParagraphFont"/>
    <w:uiPriority w:val="32"/>
    <w:qFormat/>
    <w:rsid w:val="00164459"/>
    <w:rPr>
      <w:b/>
      <w:bCs/>
      <w:smallCaps/>
      <w:color w:val="0F4761" w:themeColor="accent1" w:themeShade="BF"/>
      <w:spacing w:val="5"/>
    </w:rPr>
  </w:style>
  <w:style w:type="paragraph" w:styleId="Header">
    <w:name w:val="header"/>
    <w:basedOn w:val="Normal"/>
    <w:link w:val="HeaderChar"/>
    <w:uiPriority w:val="99"/>
    <w:unhideWhenUsed/>
    <w:rsid w:val="00164459"/>
    <w:pPr>
      <w:tabs>
        <w:tab w:val="center" w:pos="4513"/>
        <w:tab w:val="right" w:pos="9026"/>
      </w:tabs>
    </w:pPr>
  </w:style>
  <w:style w:type="character" w:customStyle="1" w:styleId="HeaderChar">
    <w:name w:val="Header Char"/>
    <w:basedOn w:val="DefaultParagraphFont"/>
    <w:link w:val="Header"/>
    <w:uiPriority w:val="99"/>
    <w:rsid w:val="00164459"/>
  </w:style>
  <w:style w:type="paragraph" w:styleId="Footer">
    <w:name w:val="footer"/>
    <w:basedOn w:val="Normal"/>
    <w:link w:val="FooterChar"/>
    <w:uiPriority w:val="99"/>
    <w:unhideWhenUsed/>
    <w:rsid w:val="00164459"/>
    <w:pPr>
      <w:tabs>
        <w:tab w:val="center" w:pos="4513"/>
        <w:tab w:val="right" w:pos="9026"/>
      </w:tabs>
    </w:pPr>
  </w:style>
  <w:style w:type="character" w:customStyle="1" w:styleId="FooterChar">
    <w:name w:val="Footer Char"/>
    <w:basedOn w:val="DefaultParagraphFont"/>
    <w:link w:val="Footer"/>
    <w:uiPriority w:val="99"/>
    <w:rsid w:val="00164459"/>
  </w:style>
  <w:style w:type="character" w:styleId="Hyperlink">
    <w:name w:val="Hyperlink"/>
    <w:basedOn w:val="DefaultParagraphFont"/>
    <w:uiPriority w:val="99"/>
    <w:unhideWhenUsed/>
    <w:rsid w:val="00F04CA3"/>
    <w:rPr>
      <w:color w:val="467886" w:themeColor="hyperlink"/>
      <w:u w:val="single"/>
    </w:rPr>
  </w:style>
  <w:style w:type="character" w:styleId="UnresolvedMention">
    <w:name w:val="Unresolved Mention"/>
    <w:basedOn w:val="DefaultParagraphFont"/>
    <w:uiPriority w:val="99"/>
    <w:semiHidden/>
    <w:unhideWhenUsed/>
    <w:rsid w:val="00F04CA3"/>
    <w:rPr>
      <w:color w:val="605E5C"/>
      <w:shd w:val="clear" w:color="auto" w:fill="E1DFDD"/>
    </w:rPr>
  </w:style>
  <w:style w:type="character" w:styleId="PageNumber">
    <w:name w:val="page number"/>
    <w:basedOn w:val="DefaultParagraphFont"/>
    <w:uiPriority w:val="99"/>
    <w:semiHidden/>
    <w:unhideWhenUsed/>
    <w:rsid w:val="00F35570"/>
  </w:style>
  <w:style w:type="paragraph" w:customStyle="1" w:styleId="CDRHeading1">
    <w:name w:val="CDR_Heading 1"/>
    <w:basedOn w:val="Normal"/>
    <w:qFormat/>
    <w:rsid w:val="00F406AB"/>
    <w:pPr>
      <w:spacing w:after="240"/>
    </w:pPr>
    <w:rPr>
      <w:rFonts w:ascii="Arial" w:hAnsi="Arial" w:cs="Arial"/>
      <w:b/>
      <w:bCs/>
      <w:caps/>
      <w:color w:val="3A3A3A" w:themeColor="background2" w:themeShade="40"/>
    </w:rPr>
  </w:style>
  <w:style w:type="paragraph" w:customStyle="1" w:styleId="CDRHeading2">
    <w:name w:val="CDR_Heading 2"/>
    <w:basedOn w:val="Normal"/>
    <w:qFormat/>
    <w:rsid w:val="00F406AB"/>
    <w:pPr>
      <w:spacing w:after="240"/>
    </w:pPr>
    <w:rPr>
      <w:rFonts w:ascii="Times" w:hAnsi="Times" w:cs="Arial"/>
      <w:b/>
      <w:bCs/>
      <w:i/>
      <w:iCs/>
      <w:color w:val="000000" w:themeColor="text1"/>
    </w:rPr>
  </w:style>
  <w:style w:type="paragraph" w:customStyle="1" w:styleId="CDRPaperTitle">
    <w:name w:val="CDR_Paper Title"/>
    <w:basedOn w:val="Normal"/>
    <w:qFormat/>
    <w:rsid w:val="00931155"/>
    <w:rPr>
      <w:rFonts w:ascii="Open Sans Condensed SemiBold" w:hAnsi="Open Sans Condensed SemiBold" w:cs="Open Sans Condensed SemiBold"/>
      <w:b/>
      <w:bCs/>
      <w:sz w:val="56"/>
      <w:szCs w:val="56"/>
    </w:rPr>
  </w:style>
  <w:style w:type="paragraph" w:customStyle="1" w:styleId="CDRParagraph">
    <w:name w:val="CDR_Paragraph"/>
    <w:basedOn w:val="Normal"/>
    <w:qFormat/>
    <w:rsid w:val="00950CDF"/>
    <w:pPr>
      <w:spacing w:after="240"/>
      <w:jc w:val="both"/>
    </w:pPr>
    <w:rPr>
      <w:rFonts w:ascii="Times" w:hAnsi="Times" w:cs="Open Sans Condensed"/>
    </w:rPr>
  </w:style>
  <w:style w:type="paragraph" w:customStyle="1" w:styleId="CDRBulletedList">
    <w:name w:val="CDR_BulletedList"/>
    <w:basedOn w:val="ListParagraph"/>
    <w:qFormat/>
    <w:rsid w:val="002356A3"/>
    <w:pPr>
      <w:numPr>
        <w:numId w:val="3"/>
      </w:numPr>
      <w:jc w:val="both"/>
    </w:pPr>
    <w:rPr>
      <w:rFonts w:ascii="Times" w:hAnsi="Times" w:cs="Open Sans Condensed"/>
      <w:color w:val="000000" w:themeColor="text1"/>
    </w:rPr>
  </w:style>
  <w:style w:type="paragraph" w:styleId="NormalWeb">
    <w:name w:val="Normal (Web)"/>
    <w:basedOn w:val="Normal"/>
    <w:uiPriority w:val="99"/>
    <w:semiHidden/>
    <w:unhideWhenUsed/>
    <w:rsid w:val="00BB35C6"/>
    <w:pPr>
      <w:spacing w:before="100" w:beforeAutospacing="1" w:after="100" w:afterAutospacing="1"/>
    </w:pPr>
  </w:style>
  <w:style w:type="character" w:styleId="Strong">
    <w:name w:val="Strong"/>
    <w:basedOn w:val="DefaultParagraphFont"/>
    <w:uiPriority w:val="22"/>
    <w:qFormat/>
    <w:rsid w:val="00BB35C6"/>
    <w:rPr>
      <w:b/>
      <w:bCs/>
    </w:rPr>
  </w:style>
  <w:style w:type="character" w:styleId="CommentReference">
    <w:name w:val="annotation reference"/>
    <w:basedOn w:val="DefaultParagraphFont"/>
    <w:uiPriority w:val="99"/>
    <w:semiHidden/>
    <w:unhideWhenUsed/>
    <w:rsid w:val="00672914"/>
    <w:rPr>
      <w:sz w:val="16"/>
      <w:szCs w:val="16"/>
    </w:rPr>
  </w:style>
  <w:style w:type="paragraph" w:styleId="CommentText">
    <w:name w:val="annotation text"/>
    <w:basedOn w:val="Normal"/>
    <w:link w:val="CommentTextChar"/>
    <w:uiPriority w:val="99"/>
    <w:semiHidden/>
    <w:unhideWhenUsed/>
    <w:rsid w:val="00672914"/>
    <w:rPr>
      <w:sz w:val="20"/>
      <w:szCs w:val="20"/>
    </w:rPr>
  </w:style>
  <w:style w:type="character" w:customStyle="1" w:styleId="CommentTextChar">
    <w:name w:val="Comment Text Char"/>
    <w:basedOn w:val="DefaultParagraphFont"/>
    <w:link w:val="CommentText"/>
    <w:uiPriority w:val="99"/>
    <w:semiHidden/>
    <w:rsid w:val="00672914"/>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72914"/>
    <w:rPr>
      <w:b/>
      <w:bCs/>
    </w:rPr>
  </w:style>
  <w:style w:type="character" w:customStyle="1" w:styleId="CommentSubjectChar">
    <w:name w:val="Comment Subject Char"/>
    <w:basedOn w:val="CommentTextChar"/>
    <w:link w:val="CommentSubject"/>
    <w:uiPriority w:val="99"/>
    <w:semiHidden/>
    <w:rsid w:val="00672914"/>
    <w:rPr>
      <w:rFonts w:ascii="Times New Roman" w:eastAsia="Times New Roman" w:hAnsi="Times New Roman" w:cs="Times New Roman"/>
      <w:b/>
      <w:bCs/>
      <w:sz w:val="20"/>
      <w:szCs w:val="20"/>
      <w:lang w:eastAsia="en-GB"/>
    </w:rPr>
  </w:style>
  <w:style w:type="paragraph" w:customStyle="1" w:styleId="CDRHeading3">
    <w:name w:val="CDR_Heading 3"/>
    <w:basedOn w:val="Normal"/>
    <w:link w:val="CDRHeading3Char"/>
    <w:qFormat/>
    <w:rsid w:val="00A712E8"/>
    <w:pPr>
      <w:spacing w:after="240"/>
      <w:ind w:firstLine="720"/>
    </w:pPr>
    <w:rPr>
      <w:rFonts w:ascii="Times" w:hAnsi="Times" w:cs="Arial"/>
      <w:i/>
      <w:iCs/>
      <w:color w:val="000000" w:themeColor="text1"/>
    </w:rPr>
  </w:style>
  <w:style w:type="character" w:customStyle="1" w:styleId="CDRHeading3Char">
    <w:name w:val="CDR_Heading 3 Char"/>
    <w:basedOn w:val="DefaultParagraphFont"/>
    <w:link w:val="CDRHeading3"/>
    <w:rsid w:val="00A712E8"/>
    <w:rPr>
      <w:rFonts w:ascii="Times" w:eastAsia="Times New Roman" w:hAnsi="Times" w:cs="Arial"/>
      <w:i/>
      <w:iCs/>
      <w:color w:val="000000" w:themeColor="text1"/>
      <w:lang w:eastAsia="en-GB"/>
    </w:rPr>
  </w:style>
  <w:style w:type="character" w:styleId="FollowedHyperlink">
    <w:name w:val="FollowedHyperlink"/>
    <w:basedOn w:val="DefaultParagraphFont"/>
    <w:uiPriority w:val="99"/>
    <w:semiHidden/>
    <w:unhideWhenUsed/>
    <w:rsid w:val="009E1853"/>
    <w:rPr>
      <w:color w:val="96607D" w:themeColor="followedHyperlink"/>
      <w:u w:val="single"/>
    </w:rPr>
  </w:style>
  <w:style w:type="paragraph" w:customStyle="1" w:styleId="CDRReferences">
    <w:name w:val="CDR_References"/>
    <w:basedOn w:val="Normal"/>
    <w:link w:val="CDRReferencesChar"/>
    <w:qFormat/>
    <w:rsid w:val="00FF2E90"/>
    <w:pPr>
      <w:ind w:left="360" w:hanging="360"/>
    </w:pPr>
    <w:rPr>
      <w:rFonts w:ascii="Times" w:hAnsi="Times" w:cs="Open Sans Condensed"/>
      <w:sz w:val="20"/>
      <w:szCs w:val="20"/>
    </w:rPr>
  </w:style>
  <w:style w:type="character" w:customStyle="1" w:styleId="CDRReferencesChar">
    <w:name w:val="CDR_References Char"/>
    <w:basedOn w:val="DefaultParagraphFont"/>
    <w:link w:val="CDRReferences"/>
    <w:rsid w:val="00FF2E90"/>
    <w:rPr>
      <w:rFonts w:ascii="Times" w:eastAsia="Times New Roman" w:hAnsi="Times" w:cs="Open Sans Condensed"/>
      <w:sz w:val="20"/>
      <w:szCs w:val="20"/>
      <w:lang w:eastAsia="en-GB"/>
    </w:rPr>
  </w:style>
  <w:style w:type="character" w:customStyle="1" w:styleId="citationsource-book">
    <w:name w:val="citation_source-book"/>
    <w:basedOn w:val="DefaultParagraphFont"/>
    <w:rsid w:val="00F02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731">
      <w:bodyDiv w:val="1"/>
      <w:marLeft w:val="0"/>
      <w:marRight w:val="0"/>
      <w:marTop w:val="0"/>
      <w:marBottom w:val="0"/>
      <w:divBdr>
        <w:top w:val="none" w:sz="0" w:space="0" w:color="auto"/>
        <w:left w:val="none" w:sz="0" w:space="0" w:color="auto"/>
        <w:bottom w:val="none" w:sz="0" w:space="0" w:color="auto"/>
        <w:right w:val="none" w:sz="0" w:space="0" w:color="auto"/>
      </w:divBdr>
    </w:div>
    <w:div w:id="51854041">
      <w:bodyDiv w:val="1"/>
      <w:marLeft w:val="0"/>
      <w:marRight w:val="0"/>
      <w:marTop w:val="0"/>
      <w:marBottom w:val="0"/>
      <w:divBdr>
        <w:top w:val="none" w:sz="0" w:space="0" w:color="auto"/>
        <w:left w:val="none" w:sz="0" w:space="0" w:color="auto"/>
        <w:bottom w:val="none" w:sz="0" w:space="0" w:color="auto"/>
        <w:right w:val="none" w:sz="0" w:space="0" w:color="auto"/>
      </w:divBdr>
    </w:div>
    <w:div w:id="132717885">
      <w:bodyDiv w:val="1"/>
      <w:marLeft w:val="0"/>
      <w:marRight w:val="0"/>
      <w:marTop w:val="0"/>
      <w:marBottom w:val="0"/>
      <w:divBdr>
        <w:top w:val="none" w:sz="0" w:space="0" w:color="auto"/>
        <w:left w:val="none" w:sz="0" w:space="0" w:color="auto"/>
        <w:bottom w:val="none" w:sz="0" w:space="0" w:color="auto"/>
        <w:right w:val="none" w:sz="0" w:space="0" w:color="auto"/>
      </w:divBdr>
    </w:div>
    <w:div w:id="175118083">
      <w:bodyDiv w:val="1"/>
      <w:marLeft w:val="0"/>
      <w:marRight w:val="0"/>
      <w:marTop w:val="0"/>
      <w:marBottom w:val="0"/>
      <w:divBdr>
        <w:top w:val="none" w:sz="0" w:space="0" w:color="auto"/>
        <w:left w:val="none" w:sz="0" w:space="0" w:color="auto"/>
        <w:bottom w:val="none" w:sz="0" w:space="0" w:color="auto"/>
        <w:right w:val="none" w:sz="0" w:space="0" w:color="auto"/>
      </w:divBdr>
    </w:div>
    <w:div w:id="200749589">
      <w:bodyDiv w:val="1"/>
      <w:marLeft w:val="0"/>
      <w:marRight w:val="0"/>
      <w:marTop w:val="0"/>
      <w:marBottom w:val="0"/>
      <w:divBdr>
        <w:top w:val="none" w:sz="0" w:space="0" w:color="auto"/>
        <w:left w:val="none" w:sz="0" w:space="0" w:color="auto"/>
        <w:bottom w:val="none" w:sz="0" w:space="0" w:color="auto"/>
        <w:right w:val="none" w:sz="0" w:space="0" w:color="auto"/>
      </w:divBdr>
    </w:div>
    <w:div w:id="202714460">
      <w:bodyDiv w:val="1"/>
      <w:marLeft w:val="0"/>
      <w:marRight w:val="0"/>
      <w:marTop w:val="0"/>
      <w:marBottom w:val="0"/>
      <w:divBdr>
        <w:top w:val="none" w:sz="0" w:space="0" w:color="auto"/>
        <w:left w:val="none" w:sz="0" w:space="0" w:color="auto"/>
        <w:bottom w:val="none" w:sz="0" w:space="0" w:color="auto"/>
        <w:right w:val="none" w:sz="0" w:space="0" w:color="auto"/>
      </w:divBdr>
    </w:div>
    <w:div w:id="218637064">
      <w:bodyDiv w:val="1"/>
      <w:marLeft w:val="0"/>
      <w:marRight w:val="0"/>
      <w:marTop w:val="0"/>
      <w:marBottom w:val="0"/>
      <w:divBdr>
        <w:top w:val="none" w:sz="0" w:space="0" w:color="auto"/>
        <w:left w:val="none" w:sz="0" w:space="0" w:color="auto"/>
        <w:bottom w:val="none" w:sz="0" w:space="0" w:color="auto"/>
        <w:right w:val="none" w:sz="0" w:space="0" w:color="auto"/>
      </w:divBdr>
      <w:divsChild>
        <w:div w:id="737632673">
          <w:marLeft w:val="0"/>
          <w:marRight w:val="0"/>
          <w:marTop w:val="0"/>
          <w:marBottom w:val="0"/>
          <w:divBdr>
            <w:top w:val="none" w:sz="0" w:space="0" w:color="auto"/>
            <w:left w:val="none" w:sz="0" w:space="0" w:color="auto"/>
            <w:bottom w:val="none" w:sz="0" w:space="0" w:color="auto"/>
            <w:right w:val="none" w:sz="0" w:space="0" w:color="auto"/>
          </w:divBdr>
          <w:divsChild>
            <w:div w:id="1926917853">
              <w:marLeft w:val="0"/>
              <w:marRight w:val="0"/>
              <w:marTop w:val="0"/>
              <w:marBottom w:val="0"/>
              <w:divBdr>
                <w:top w:val="none" w:sz="0" w:space="0" w:color="auto"/>
                <w:left w:val="none" w:sz="0" w:space="0" w:color="auto"/>
                <w:bottom w:val="none" w:sz="0" w:space="0" w:color="auto"/>
                <w:right w:val="none" w:sz="0" w:space="0" w:color="auto"/>
              </w:divBdr>
              <w:divsChild>
                <w:div w:id="14123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60794">
      <w:bodyDiv w:val="1"/>
      <w:marLeft w:val="0"/>
      <w:marRight w:val="0"/>
      <w:marTop w:val="0"/>
      <w:marBottom w:val="0"/>
      <w:divBdr>
        <w:top w:val="none" w:sz="0" w:space="0" w:color="auto"/>
        <w:left w:val="none" w:sz="0" w:space="0" w:color="auto"/>
        <w:bottom w:val="none" w:sz="0" w:space="0" w:color="auto"/>
        <w:right w:val="none" w:sz="0" w:space="0" w:color="auto"/>
      </w:divBdr>
    </w:div>
    <w:div w:id="279455860">
      <w:bodyDiv w:val="1"/>
      <w:marLeft w:val="0"/>
      <w:marRight w:val="0"/>
      <w:marTop w:val="0"/>
      <w:marBottom w:val="0"/>
      <w:divBdr>
        <w:top w:val="none" w:sz="0" w:space="0" w:color="auto"/>
        <w:left w:val="none" w:sz="0" w:space="0" w:color="auto"/>
        <w:bottom w:val="none" w:sz="0" w:space="0" w:color="auto"/>
        <w:right w:val="none" w:sz="0" w:space="0" w:color="auto"/>
      </w:divBdr>
      <w:divsChild>
        <w:div w:id="489447935">
          <w:marLeft w:val="0"/>
          <w:marRight w:val="0"/>
          <w:marTop w:val="0"/>
          <w:marBottom w:val="0"/>
          <w:divBdr>
            <w:top w:val="none" w:sz="0" w:space="0" w:color="auto"/>
            <w:left w:val="none" w:sz="0" w:space="0" w:color="auto"/>
            <w:bottom w:val="none" w:sz="0" w:space="0" w:color="auto"/>
            <w:right w:val="none" w:sz="0" w:space="0" w:color="auto"/>
          </w:divBdr>
          <w:divsChild>
            <w:div w:id="956909183">
              <w:marLeft w:val="0"/>
              <w:marRight w:val="0"/>
              <w:marTop w:val="0"/>
              <w:marBottom w:val="0"/>
              <w:divBdr>
                <w:top w:val="none" w:sz="0" w:space="0" w:color="auto"/>
                <w:left w:val="none" w:sz="0" w:space="0" w:color="auto"/>
                <w:bottom w:val="none" w:sz="0" w:space="0" w:color="auto"/>
                <w:right w:val="none" w:sz="0" w:space="0" w:color="auto"/>
              </w:divBdr>
              <w:divsChild>
                <w:div w:id="21468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888354">
      <w:bodyDiv w:val="1"/>
      <w:marLeft w:val="0"/>
      <w:marRight w:val="0"/>
      <w:marTop w:val="0"/>
      <w:marBottom w:val="0"/>
      <w:divBdr>
        <w:top w:val="none" w:sz="0" w:space="0" w:color="auto"/>
        <w:left w:val="none" w:sz="0" w:space="0" w:color="auto"/>
        <w:bottom w:val="none" w:sz="0" w:space="0" w:color="auto"/>
        <w:right w:val="none" w:sz="0" w:space="0" w:color="auto"/>
      </w:divBdr>
    </w:div>
    <w:div w:id="338433073">
      <w:bodyDiv w:val="1"/>
      <w:marLeft w:val="0"/>
      <w:marRight w:val="0"/>
      <w:marTop w:val="0"/>
      <w:marBottom w:val="0"/>
      <w:divBdr>
        <w:top w:val="none" w:sz="0" w:space="0" w:color="auto"/>
        <w:left w:val="none" w:sz="0" w:space="0" w:color="auto"/>
        <w:bottom w:val="none" w:sz="0" w:space="0" w:color="auto"/>
        <w:right w:val="none" w:sz="0" w:space="0" w:color="auto"/>
      </w:divBdr>
    </w:div>
    <w:div w:id="429813214">
      <w:bodyDiv w:val="1"/>
      <w:marLeft w:val="0"/>
      <w:marRight w:val="0"/>
      <w:marTop w:val="0"/>
      <w:marBottom w:val="0"/>
      <w:divBdr>
        <w:top w:val="none" w:sz="0" w:space="0" w:color="auto"/>
        <w:left w:val="none" w:sz="0" w:space="0" w:color="auto"/>
        <w:bottom w:val="none" w:sz="0" w:space="0" w:color="auto"/>
        <w:right w:val="none" w:sz="0" w:space="0" w:color="auto"/>
      </w:divBdr>
    </w:div>
    <w:div w:id="484663462">
      <w:bodyDiv w:val="1"/>
      <w:marLeft w:val="0"/>
      <w:marRight w:val="0"/>
      <w:marTop w:val="0"/>
      <w:marBottom w:val="0"/>
      <w:divBdr>
        <w:top w:val="none" w:sz="0" w:space="0" w:color="auto"/>
        <w:left w:val="none" w:sz="0" w:space="0" w:color="auto"/>
        <w:bottom w:val="none" w:sz="0" w:space="0" w:color="auto"/>
        <w:right w:val="none" w:sz="0" w:space="0" w:color="auto"/>
      </w:divBdr>
    </w:div>
    <w:div w:id="500776043">
      <w:bodyDiv w:val="1"/>
      <w:marLeft w:val="0"/>
      <w:marRight w:val="0"/>
      <w:marTop w:val="0"/>
      <w:marBottom w:val="0"/>
      <w:divBdr>
        <w:top w:val="none" w:sz="0" w:space="0" w:color="auto"/>
        <w:left w:val="none" w:sz="0" w:space="0" w:color="auto"/>
        <w:bottom w:val="none" w:sz="0" w:space="0" w:color="auto"/>
        <w:right w:val="none" w:sz="0" w:space="0" w:color="auto"/>
      </w:divBdr>
    </w:div>
    <w:div w:id="533269535">
      <w:bodyDiv w:val="1"/>
      <w:marLeft w:val="0"/>
      <w:marRight w:val="0"/>
      <w:marTop w:val="0"/>
      <w:marBottom w:val="0"/>
      <w:divBdr>
        <w:top w:val="none" w:sz="0" w:space="0" w:color="auto"/>
        <w:left w:val="none" w:sz="0" w:space="0" w:color="auto"/>
        <w:bottom w:val="none" w:sz="0" w:space="0" w:color="auto"/>
        <w:right w:val="none" w:sz="0" w:space="0" w:color="auto"/>
      </w:divBdr>
    </w:div>
    <w:div w:id="593441223">
      <w:bodyDiv w:val="1"/>
      <w:marLeft w:val="0"/>
      <w:marRight w:val="0"/>
      <w:marTop w:val="0"/>
      <w:marBottom w:val="0"/>
      <w:divBdr>
        <w:top w:val="none" w:sz="0" w:space="0" w:color="auto"/>
        <w:left w:val="none" w:sz="0" w:space="0" w:color="auto"/>
        <w:bottom w:val="none" w:sz="0" w:space="0" w:color="auto"/>
        <w:right w:val="none" w:sz="0" w:space="0" w:color="auto"/>
      </w:divBdr>
    </w:div>
    <w:div w:id="639311213">
      <w:bodyDiv w:val="1"/>
      <w:marLeft w:val="0"/>
      <w:marRight w:val="0"/>
      <w:marTop w:val="0"/>
      <w:marBottom w:val="0"/>
      <w:divBdr>
        <w:top w:val="none" w:sz="0" w:space="0" w:color="auto"/>
        <w:left w:val="none" w:sz="0" w:space="0" w:color="auto"/>
        <w:bottom w:val="none" w:sz="0" w:space="0" w:color="auto"/>
        <w:right w:val="none" w:sz="0" w:space="0" w:color="auto"/>
      </w:divBdr>
    </w:div>
    <w:div w:id="644555471">
      <w:bodyDiv w:val="1"/>
      <w:marLeft w:val="0"/>
      <w:marRight w:val="0"/>
      <w:marTop w:val="0"/>
      <w:marBottom w:val="0"/>
      <w:divBdr>
        <w:top w:val="none" w:sz="0" w:space="0" w:color="auto"/>
        <w:left w:val="none" w:sz="0" w:space="0" w:color="auto"/>
        <w:bottom w:val="none" w:sz="0" w:space="0" w:color="auto"/>
        <w:right w:val="none" w:sz="0" w:space="0" w:color="auto"/>
      </w:divBdr>
    </w:div>
    <w:div w:id="646859590">
      <w:bodyDiv w:val="1"/>
      <w:marLeft w:val="0"/>
      <w:marRight w:val="0"/>
      <w:marTop w:val="0"/>
      <w:marBottom w:val="0"/>
      <w:divBdr>
        <w:top w:val="none" w:sz="0" w:space="0" w:color="auto"/>
        <w:left w:val="none" w:sz="0" w:space="0" w:color="auto"/>
        <w:bottom w:val="none" w:sz="0" w:space="0" w:color="auto"/>
        <w:right w:val="none" w:sz="0" w:space="0" w:color="auto"/>
      </w:divBdr>
    </w:div>
    <w:div w:id="656568385">
      <w:bodyDiv w:val="1"/>
      <w:marLeft w:val="0"/>
      <w:marRight w:val="0"/>
      <w:marTop w:val="0"/>
      <w:marBottom w:val="0"/>
      <w:divBdr>
        <w:top w:val="none" w:sz="0" w:space="0" w:color="auto"/>
        <w:left w:val="none" w:sz="0" w:space="0" w:color="auto"/>
        <w:bottom w:val="none" w:sz="0" w:space="0" w:color="auto"/>
        <w:right w:val="none" w:sz="0" w:space="0" w:color="auto"/>
      </w:divBdr>
    </w:div>
    <w:div w:id="687174184">
      <w:bodyDiv w:val="1"/>
      <w:marLeft w:val="0"/>
      <w:marRight w:val="0"/>
      <w:marTop w:val="0"/>
      <w:marBottom w:val="0"/>
      <w:divBdr>
        <w:top w:val="none" w:sz="0" w:space="0" w:color="auto"/>
        <w:left w:val="none" w:sz="0" w:space="0" w:color="auto"/>
        <w:bottom w:val="none" w:sz="0" w:space="0" w:color="auto"/>
        <w:right w:val="none" w:sz="0" w:space="0" w:color="auto"/>
      </w:divBdr>
      <w:divsChild>
        <w:div w:id="1450973420">
          <w:marLeft w:val="0"/>
          <w:marRight w:val="0"/>
          <w:marTop w:val="0"/>
          <w:marBottom w:val="0"/>
          <w:divBdr>
            <w:top w:val="none" w:sz="0" w:space="0" w:color="auto"/>
            <w:left w:val="none" w:sz="0" w:space="0" w:color="auto"/>
            <w:bottom w:val="none" w:sz="0" w:space="0" w:color="auto"/>
            <w:right w:val="none" w:sz="0" w:space="0" w:color="auto"/>
          </w:divBdr>
          <w:divsChild>
            <w:div w:id="1329212298">
              <w:marLeft w:val="0"/>
              <w:marRight w:val="0"/>
              <w:marTop w:val="0"/>
              <w:marBottom w:val="0"/>
              <w:divBdr>
                <w:top w:val="none" w:sz="0" w:space="0" w:color="auto"/>
                <w:left w:val="none" w:sz="0" w:space="0" w:color="auto"/>
                <w:bottom w:val="none" w:sz="0" w:space="0" w:color="auto"/>
                <w:right w:val="none" w:sz="0" w:space="0" w:color="auto"/>
              </w:divBdr>
              <w:divsChild>
                <w:div w:id="12020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79604">
      <w:bodyDiv w:val="1"/>
      <w:marLeft w:val="0"/>
      <w:marRight w:val="0"/>
      <w:marTop w:val="0"/>
      <w:marBottom w:val="0"/>
      <w:divBdr>
        <w:top w:val="none" w:sz="0" w:space="0" w:color="auto"/>
        <w:left w:val="none" w:sz="0" w:space="0" w:color="auto"/>
        <w:bottom w:val="none" w:sz="0" w:space="0" w:color="auto"/>
        <w:right w:val="none" w:sz="0" w:space="0" w:color="auto"/>
      </w:divBdr>
    </w:div>
    <w:div w:id="744185121">
      <w:bodyDiv w:val="1"/>
      <w:marLeft w:val="0"/>
      <w:marRight w:val="0"/>
      <w:marTop w:val="0"/>
      <w:marBottom w:val="0"/>
      <w:divBdr>
        <w:top w:val="none" w:sz="0" w:space="0" w:color="auto"/>
        <w:left w:val="none" w:sz="0" w:space="0" w:color="auto"/>
        <w:bottom w:val="none" w:sz="0" w:space="0" w:color="auto"/>
        <w:right w:val="none" w:sz="0" w:space="0" w:color="auto"/>
      </w:divBdr>
    </w:div>
    <w:div w:id="824467583">
      <w:bodyDiv w:val="1"/>
      <w:marLeft w:val="0"/>
      <w:marRight w:val="0"/>
      <w:marTop w:val="0"/>
      <w:marBottom w:val="0"/>
      <w:divBdr>
        <w:top w:val="none" w:sz="0" w:space="0" w:color="auto"/>
        <w:left w:val="none" w:sz="0" w:space="0" w:color="auto"/>
        <w:bottom w:val="none" w:sz="0" w:space="0" w:color="auto"/>
        <w:right w:val="none" w:sz="0" w:space="0" w:color="auto"/>
      </w:divBdr>
      <w:divsChild>
        <w:div w:id="302002150">
          <w:marLeft w:val="0"/>
          <w:marRight w:val="0"/>
          <w:marTop w:val="0"/>
          <w:marBottom w:val="0"/>
          <w:divBdr>
            <w:top w:val="none" w:sz="0" w:space="0" w:color="auto"/>
            <w:left w:val="none" w:sz="0" w:space="0" w:color="auto"/>
            <w:bottom w:val="none" w:sz="0" w:space="0" w:color="auto"/>
            <w:right w:val="none" w:sz="0" w:space="0" w:color="auto"/>
          </w:divBdr>
          <w:divsChild>
            <w:div w:id="1716541323">
              <w:marLeft w:val="0"/>
              <w:marRight w:val="0"/>
              <w:marTop w:val="0"/>
              <w:marBottom w:val="0"/>
              <w:divBdr>
                <w:top w:val="none" w:sz="0" w:space="0" w:color="auto"/>
                <w:left w:val="none" w:sz="0" w:space="0" w:color="auto"/>
                <w:bottom w:val="none" w:sz="0" w:space="0" w:color="auto"/>
                <w:right w:val="none" w:sz="0" w:space="0" w:color="auto"/>
              </w:divBdr>
              <w:divsChild>
                <w:div w:id="3178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3269">
      <w:bodyDiv w:val="1"/>
      <w:marLeft w:val="0"/>
      <w:marRight w:val="0"/>
      <w:marTop w:val="0"/>
      <w:marBottom w:val="0"/>
      <w:divBdr>
        <w:top w:val="none" w:sz="0" w:space="0" w:color="auto"/>
        <w:left w:val="none" w:sz="0" w:space="0" w:color="auto"/>
        <w:bottom w:val="none" w:sz="0" w:space="0" w:color="auto"/>
        <w:right w:val="none" w:sz="0" w:space="0" w:color="auto"/>
      </w:divBdr>
    </w:div>
    <w:div w:id="892275465">
      <w:bodyDiv w:val="1"/>
      <w:marLeft w:val="0"/>
      <w:marRight w:val="0"/>
      <w:marTop w:val="0"/>
      <w:marBottom w:val="0"/>
      <w:divBdr>
        <w:top w:val="none" w:sz="0" w:space="0" w:color="auto"/>
        <w:left w:val="none" w:sz="0" w:space="0" w:color="auto"/>
        <w:bottom w:val="none" w:sz="0" w:space="0" w:color="auto"/>
        <w:right w:val="none" w:sz="0" w:space="0" w:color="auto"/>
      </w:divBdr>
    </w:div>
    <w:div w:id="901138223">
      <w:bodyDiv w:val="1"/>
      <w:marLeft w:val="0"/>
      <w:marRight w:val="0"/>
      <w:marTop w:val="0"/>
      <w:marBottom w:val="0"/>
      <w:divBdr>
        <w:top w:val="none" w:sz="0" w:space="0" w:color="auto"/>
        <w:left w:val="none" w:sz="0" w:space="0" w:color="auto"/>
        <w:bottom w:val="none" w:sz="0" w:space="0" w:color="auto"/>
        <w:right w:val="none" w:sz="0" w:space="0" w:color="auto"/>
      </w:divBdr>
    </w:div>
    <w:div w:id="906957555">
      <w:bodyDiv w:val="1"/>
      <w:marLeft w:val="0"/>
      <w:marRight w:val="0"/>
      <w:marTop w:val="0"/>
      <w:marBottom w:val="0"/>
      <w:divBdr>
        <w:top w:val="none" w:sz="0" w:space="0" w:color="auto"/>
        <w:left w:val="none" w:sz="0" w:space="0" w:color="auto"/>
        <w:bottom w:val="none" w:sz="0" w:space="0" w:color="auto"/>
        <w:right w:val="none" w:sz="0" w:space="0" w:color="auto"/>
      </w:divBdr>
    </w:div>
    <w:div w:id="931400048">
      <w:bodyDiv w:val="1"/>
      <w:marLeft w:val="0"/>
      <w:marRight w:val="0"/>
      <w:marTop w:val="0"/>
      <w:marBottom w:val="0"/>
      <w:divBdr>
        <w:top w:val="none" w:sz="0" w:space="0" w:color="auto"/>
        <w:left w:val="none" w:sz="0" w:space="0" w:color="auto"/>
        <w:bottom w:val="none" w:sz="0" w:space="0" w:color="auto"/>
        <w:right w:val="none" w:sz="0" w:space="0" w:color="auto"/>
      </w:divBdr>
    </w:div>
    <w:div w:id="939335175">
      <w:bodyDiv w:val="1"/>
      <w:marLeft w:val="0"/>
      <w:marRight w:val="0"/>
      <w:marTop w:val="0"/>
      <w:marBottom w:val="0"/>
      <w:divBdr>
        <w:top w:val="none" w:sz="0" w:space="0" w:color="auto"/>
        <w:left w:val="none" w:sz="0" w:space="0" w:color="auto"/>
        <w:bottom w:val="none" w:sz="0" w:space="0" w:color="auto"/>
        <w:right w:val="none" w:sz="0" w:space="0" w:color="auto"/>
      </w:divBdr>
      <w:divsChild>
        <w:div w:id="639381312">
          <w:marLeft w:val="0"/>
          <w:marRight w:val="0"/>
          <w:marTop w:val="0"/>
          <w:marBottom w:val="0"/>
          <w:divBdr>
            <w:top w:val="none" w:sz="0" w:space="0" w:color="auto"/>
            <w:left w:val="none" w:sz="0" w:space="0" w:color="auto"/>
            <w:bottom w:val="none" w:sz="0" w:space="0" w:color="auto"/>
            <w:right w:val="none" w:sz="0" w:space="0" w:color="auto"/>
          </w:divBdr>
          <w:divsChild>
            <w:div w:id="653948814">
              <w:marLeft w:val="0"/>
              <w:marRight w:val="0"/>
              <w:marTop w:val="0"/>
              <w:marBottom w:val="0"/>
              <w:divBdr>
                <w:top w:val="none" w:sz="0" w:space="0" w:color="auto"/>
                <w:left w:val="none" w:sz="0" w:space="0" w:color="auto"/>
                <w:bottom w:val="none" w:sz="0" w:space="0" w:color="auto"/>
                <w:right w:val="none" w:sz="0" w:space="0" w:color="auto"/>
              </w:divBdr>
              <w:divsChild>
                <w:div w:id="2647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30312">
      <w:bodyDiv w:val="1"/>
      <w:marLeft w:val="0"/>
      <w:marRight w:val="0"/>
      <w:marTop w:val="0"/>
      <w:marBottom w:val="0"/>
      <w:divBdr>
        <w:top w:val="none" w:sz="0" w:space="0" w:color="auto"/>
        <w:left w:val="none" w:sz="0" w:space="0" w:color="auto"/>
        <w:bottom w:val="none" w:sz="0" w:space="0" w:color="auto"/>
        <w:right w:val="none" w:sz="0" w:space="0" w:color="auto"/>
      </w:divBdr>
    </w:div>
    <w:div w:id="982932523">
      <w:bodyDiv w:val="1"/>
      <w:marLeft w:val="0"/>
      <w:marRight w:val="0"/>
      <w:marTop w:val="0"/>
      <w:marBottom w:val="0"/>
      <w:divBdr>
        <w:top w:val="none" w:sz="0" w:space="0" w:color="auto"/>
        <w:left w:val="none" w:sz="0" w:space="0" w:color="auto"/>
        <w:bottom w:val="none" w:sz="0" w:space="0" w:color="auto"/>
        <w:right w:val="none" w:sz="0" w:space="0" w:color="auto"/>
      </w:divBdr>
      <w:divsChild>
        <w:div w:id="53822163">
          <w:marLeft w:val="0"/>
          <w:marRight w:val="0"/>
          <w:marTop w:val="0"/>
          <w:marBottom w:val="0"/>
          <w:divBdr>
            <w:top w:val="none" w:sz="0" w:space="0" w:color="auto"/>
            <w:left w:val="none" w:sz="0" w:space="0" w:color="auto"/>
            <w:bottom w:val="none" w:sz="0" w:space="0" w:color="auto"/>
            <w:right w:val="none" w:sz="0" w:space="0" w:color="auto"/>
          </w:divBdr>
          <w:divsChild>
            <w:div w:id="488138045">
              <w:marLeft w:val="0"/>
              <w:marRight w:val="0"/>
              <w:marTop w:val="0"/>
              <w:marBottom w:val="0"/>
              <w:divBdr>
                <w:top w:val="none" w:sz="0" w:space="0" w:color="auto"/>
                <w:left w:val="none" w:sz="0" w:space="0" w:color="auto"/>
                <w:bottom w:val="none" w:sz="0" w:space="0" w:color="auto"/>
                <w:right w:val="none" w:sz="0" w:space="0" w:color="auto"/>
              </w:divBdr>
              <w:divsChild>
                <w:div w:id="1461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99963">
      <w:bodyDiv w:val="1"/>
      <w:marLeft w:val="0"/>
      <w:marRight w:val="0"/>
      <w:marTop w:val="0"/>
      <w:marBottom w:val="0"/>
      <w:divBdr>
        <w:top w:val="none" w:sz="0" w:space="0" w:color="auto"/>
        <w:left w:val="none" w:sz="0" w:space="0" w:color="auto"/>
        <w:bottom w:val="none" w:sz="0" w:space="0" w:color="auto"/>
        <w:right w:val="none" w:sz="0" w:space="0" w:color="auto"/>
      </w:divBdr>
    </w:div>
    <w:div w:id="1124348474">
      <w:bodyDiv w:val="1"/>
      <w:marLeft w:val="0"/>
      <w:marRight w:val="0"/>
      <w:marTop w:val="0"/>
      <w:marBottom w:val="0"/>
      <w:divBdr>
        <w:top w:val="none" w:sz="0" w:space="0" w:color="auto"/>
        <w:left w:val="none" w:sz="0" w:space="0" w:color="auto"/>
        <w:bottom w:val="none" w:sz="0" w:space="0" w:color="auto"/>
        <w:right w:val="none" w:sz="0" w:space="0" w:color="auto"/>
      </w:divBdr>
    </w:div>
    <w:div w:id="1127162262">
      <w:bodyDiv w:val="1"/>
      <w:marLeft w:val="0"/>
      <w:marRight w:val="0"/>
      <w:marTop w:val="0"/>
      <w:marBottom w:val="0"/>
      <w:divBdr>
        <w:top w:val="none" w:sz="0" w:space="0" w:color="auto"/>
        <w:left w:val="none" w:sz="0" w:space="0" w:color="auto"/>
        <w:bottom w:val="none" w:sz="0" w:space="0" w:color="auto"/>
        <w:right w:val="none" w:sz="0" w:space="0" w:color="auto"/>
      </w:divBdr>
    </w:div>
    <w:div w:id="1156916874">
      <w:bodyDiv w:val="1"/>
      <w:marLeft w:val="0"/>
      <w:marRight w:val="0"/>
      <w:marTop w:val="0"/>
      <w:marBottom w:val="0"/>
      <w:divBdr>
        <w:top w:val="none" w:sz="0" w:space="0" w:color="auto"/>
        <w:left w:val="none" w:sz="0" w:space="0" w:color="auto"/>
        <w:bottom w:val="none" w:sz="0" w:space="0" w:color="auto"/>
        <w:right w:val="none" w:sz="0" w:space="0" w:color="auto"/>
      </w:divBdr>
    </w:div>
    <w:div w:id="1179733207">
      <w:bodyDiv w:val="1"/>
      <w:marLeft w:val="0"/>
      <w:marRight w:val="0"/>
      <w:marTop w:val="0"/>
      <w:marBottom w:val="0"/>
      <w:divBdr>
        <w:top w:val="none" w:sz="0" w:space="0" w:color="auto"/>
        <w:left w:val="none" w:sz="0" w:space="0" w:color="auto"/>
        <w:bottom w:val="none" w:sz="0" w:space="0" w:color="auto"/>
        <w:right w:val="none" w:sz="0" w:space="0" w:color="auto"/>
      </w:divBdr>
    </w:div>
    <w:div w:id="1180125416">
      <w:bodyDiv w:val="1"/>
      <w:marLeft w:val="0"/>
      <w:marRight w:val="0"/>
      <w:marTop w:val="0"/>
      <w:marBottom w:val="0"/>
      <w:divBdr>
        <w:top w:val="none" w:sz="0" w:space="0" w:color="auto"/>
        <w:left w:val="none" w:sz="0" w:space="0" w:color="auto"/>
        <w:bottom w:val="none" w:sz="0" w:space="0" w:color="auto"/>
        <w:right w:val="none" w:sz="0" w:space="0" w:color="auto"/>
      </w:divBdr>
    </w:div>
    <w:div w:id="1186556174">
      <w:bodyDiv w:val="1"/>
      <w:marLeft w:val="0"/>
      <w:marRight w:val="0"/>
      <w:marTop w:val="0"/>
      <w:marBottom w:val="0"/>
      <w:divBdr>
        <w:top w:val="none" w:sz="0" w:space="0" w:color="auto"/>
        <w:left w:val="none" w:sz="0" w:space="0" w:color="auto"/>
        <w:bottom w:val="none" w:sz="0" w:space="0" w:color="auto"/>
        <w:right w:val="none" w:sz="0" w:space="0" w:color="auto"/>
      </w:divBdr>
      <w:divsChild>
        <w:div w:id="895235981">
          <w:marLeft w:val="0"/>
          <w:marRight w:val="0"/>
          <w:marTop w:val="0"/>
          <w:marBottom w:val="0"/>
          <w:divBdr>
            <w:top w:val="none" w:sz="0" w:space="0" w:color="auto"/>
            <w:left w:val="none" w:sz="0" w:space="0" w:color="auto"/>
            <w:bottom w:val="none" w:sz="0" w:space="0" w:color="auto"/>
            <w:right w:val="none" w:sz="0" w:space="0" w:color="auto"/>
          </w:divBdr>
          <w:divsChild>
            <w:div w:id="1105005046">
              <w:marLeft w:val="0"/>
              <w:marRight w:val="0"/>
              <w:marTop w:val="0"/>
              <w:marBottom w:val="0"/>
              <w:divBdr>
                <w:top w:val="none" w:sz="0" w:space="0" w:color="auto"/>
                <w:left w:val="none" w:sz="0" w:space="0" w:color="auto"/>
                <w:bottom w:val="none" w:sz="0" w:space="0" w:color="auto"/>
                <w:right w:val="none" w:sz="0" w:space="0" w:color="auto"/>
              </w:divBdr>
              <w:divsChild>
                <w:div w:id="5721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75852">
      <w:bodyDiv w:val="1"/>
      <w:marLeft w:val="0"/>
      <w:marRight w:val="0"/>
      <w:marTop w:val="0"/>
      <w:marBottom w:val="0"/>
      <w:divBdr>
        <w:top w:val="none" w:sz="0" w:space="0" w:color="auto"/>
        <w:left w:val="none" w:sz="0" w:space="0" w:color="auto"/>
        <w:bottom w:val="none" w:sz="0" w:space="0" w:color="auto"/>
        <w:right w:val="none" w:sz="0" w:space="0" w:color="auto"/>
      </w:divBdr>
    </w:div>
    <w:div w:id="1340615995">
      <w:bodyDiv w:val="1"/>
      <w:marLeft w:val="0"/>
      <w:marRight w:val="0"/>
      <w:marTop w:val="0"/>
      <w:marBottom w:val="0"/>
      <w:divBdr>
        <w:top w:val="none" w:sz="0" w:space="0" w:color="auto"/>
        <w:left w:val="none" w:sz="0" w:space="0" w:color="auto"/>
        <w:bottom w:val="none" w:sz="0" w:space="0" w:color="auto"/>
        <w:right w:val="none" w:sz="0" w:space="0" w:color="auto"/>
      </w:divBdr>
    </w:div>
    <w:div w:id="1353652597">
      <w:bodyDiv w:val="1"/>
      <w:marLeft w:val="0"/>
      <w:marRight w:val="0"/>
      <w:marTop w:val="0"/>
      <w:marBottom w:val="0"/>
      <w:divBdr>
        <w:top w:val="none" w:sz="0" w:space="0" w:color="auto"/>
        <w:left w:val="none" w:sz="0" w:space="0" w:color="auto"/>
        <w:bottom w:val="none" w:sz="0" w:space="0" w:color="auto"/>
        <w:right w:val="none" w:sz="0" w:space="0" w:color="auto"/>
      </w:divBdr>
    </w:div>
    <w:div w:id="1396968797">
      <w:bodyDiv w:val="1"/>
      <w:marLeft w:val="0"/>
      <w:marRight w:val="0"/>
      <w:marTop w:val="0"/>
      <w:marBottom w:val="0"/>
      <w:divBdr>
        <w:top w:val="none" w:sz="0" w:space="0" w:color="auto"/>
        <w:left w:val="none" w:sz="0" w:space="0" w:color="auto"/>
        <w:bottom w:val="none" w:sz="0" w:space="0" w:color="auto"/>
        <w:right w:val="none" w:sz="0" w:space="0" w:color="auto"/>
      </w:divBdr>
    </w:div>
    <w:div w:id="1421096038">
      <w:bodyDiv w:val="1"/>
      <w:marLeft w:val="0"/>
      <w:marRight w:val="0"/>
      <w:marTop w:val="0"/>
      <w:marBottom w:val="0"/>
      <w:divBdr>
        <w:top w:val="none" w:sz="0" w:space="0" w:color="auto"/>
        <w:left w:val="none" w:sz="0" w:space="0" w:color="auto"/>
        <w:bottom w:val="none" w:sz="0" w:space="0" w:color="auto"/>
        <w:right w:val="none" w:sz="0" w:space="0" w:color="auto"/>
      </w:divBdr>
    </w:div>
    <w:div w:id="1436364751">
      <w:bodyDiv w:val="1"/>
      <w:marLeft w:val="0"/>
      <w:marRight w:val="0"/>
      <w:marTop w:val="0"/>
      <w:marBottom w:val="0"/>
      <w:divBdr>
        <w:top w:val="none" w:sz="0" w:space="0" w:color="auto"/>
        <w:left w:val="none" w:sz="0" w:space="0" w:color="auto"/>
        <w:bottom w:val="none" w:sz="0" w:space="0" w:color="auto"/>
        <w:right w:val="none" w:sz="0" w:space="0" w:color="auto"/>
      </w:divBdr>
    </w:div>
    <w:div w:id="1478381787">
      <w:bodyDiv w:val="1"/>
      <w:marLeft w:val="0"/>
      <w:marRight w:val="0"/>
      <w:marTop w:val="0"/>
      <w:marBottom w:val="0"/>
      <w:divBdr>
        <w:top w:val="none" w:sz="0" w:space="0" w:color="auto"/>
        <w:left w:val="none" w:sz="0" w:space="0" w:color="auto"/>
        <w:bottom w:val="none" w:sz="0" w:space="0" w:color="auto"/>
        <w:right w:val="none" w:sz="0" w:space="0" w:color="auto"/>
      </w:divBdr>
    </w:div>
    <w:div w:id="1523864375">
      <w:bodyDiv w:val="1"/>
      <w:marLeft w:val="0"/>
      <w:marRight w:val="0"/>
      <w:marTop w:val="0"/>
      <w:marBottom w:val="0"/>
      <w:divBdr>
        <w:top w:val="none" w:sz="0" w:space="0" w:color="auto"/>
        <w:left w:val="none" w:sz="0" w:space="0" w:color="auto"/>
        <w:bottom w:val="none" w:sz="0" w:space="0" w:color="auto"/>
        <w:right w:val="none" w:sz="0" w:space="0" w:color="auto"/>
      </w:divBdr>
    </w:div>
    <w:div w:id="1591503956">
      <w:bodyDiv w:val="1"/>
      <w:marLeft w:val="0"/>
      <w:marRight w:val="0"/>
      <w:marTop w:val="0"/>
      <w:marBottom w:val="0"/>
      <w:divBdr>
        <w:top w:val="none" w:sz="0" w:space="0" w:color="auto"/>
        <w:left w:val="none" w:sz="0" w:space="0" w:color="auto"/>
        <w:bottom w:val="none" w:sz="0" w:space="0" w:color="auto"/>
        <w:right w:val="none" w:sz="0" w:space="0" w:color="auto"/>
      </w:divBdr>
    </w:div>
    <w:div w:id="1626234496">
      <w:bodyDiv w:val="1"/>
      <w:marLeft w:val="0"/>
      <w:marRight w:val="0"/>
      <w:marTop w:val="0"/>
      <w:marBottom w:val="0"/>
      <w:divBdr>
        <w:top w:val="none" w:sz="0" w:space="0" w:color="auto"/>
        <w:left w:val="none" w:sz="0" w:space="0" w:color="auto"/>
        <w:bottom w:val="none" w:sz="0" w:space="0" w:color="auto"/>
        <w:right w:val="none" w:sz="0" w:space="0" w:color="auto"/>
      </w:divBdr>
    </w:div>
    <w:div w:id="1644851760">
      <w:bodyDiv w:val="1"/>
      <w:marLeft w:val="0"/>
      <w:marRight w:val="0"/>
      <w:marTop w:val="0"/>
      <w:marBottom w:val="0"/>
      <w:divBdr>
        <w:top w:val="none" w:sz="0" w:space="0" w:color="auto"/>
        <w:left w:val="none" w:sz="0" w:space="0" w:color="auto"/>
        <w:bottom w:val="none" w:sz="0" w:space="0" w:color="auto"/>
        <w:right w:val="none" w:sz="0" w:space="0" w:color="auto"/>
      </w:divBdr>
    </w:div>
    <w:div w:id="1684933270">
      <w:bodyDiv w:val="1"/>
      <w:marLeft w:val="0"/>
      <w:marRight w:val="0"/>
      <w:marTop w:val="0"/>
      <w:marBottom w:val="0"/>
      <w:divBdr>
        <w:top w:val="none" w:sz="0" w:space="0" w:color="auto"/>
        <w:left w:val="none" w:sz="0" w:space="0" w:color="auto"/>
        <w:bottom w:val="none" w:sz="0" w:space="0" w:color="auto"/>
        <w:right w:val="none" w:sz="0" w:space="0" w:color="auto"/>
      </w:divBdr>
    </w:div>
    <w:div w:id="1768110774">
      <w:bodyDiv w:val="1"/>
      <w:marLeft w:val="0"/>
      <w:marRight w:val="0"/>
      <w:marTop w:val="0"/>
      <w:marBottom w:val="0"/>
      <w:divBdr>
        <w:top w:val="none" w:sz="0" w:space="0" w:color="auto"/>
        <w:left w:val="none" w:sz="0" w:space="0" w:color="auto"/>
        <w:bottom w:val="none" w:sz="0" w:space="0" w:color="auto"/>
        <w:right w:val="none" w:sz="0" w:space="0" w:color="auto"/>
      </w:divBdr>
    </w:div>
    <w:div w:id="1799907399">
      <w:bodyDiv w:val="1"/>
      <w:marLeft w:val="0"/>
      <w:marRight w:val="0"/>
      <w:marTop w:val="0"/>
      <w:marBottom w:val="0"/>
      <w:divBdr>
        <w:top w:val="none" w:sz="0" w:space="0" w:color="auto"/>
        <w:left w:val="none" w:sz="0" w:space="0" w:color="auto"/>
        <w:bottom w:val="none" w:sz="0" w:space="0" w:color="auto"/>
        <w:right w:val="none" w:sz="0" w:space="0" w:color="auto"/>
      </w:divBdr>
    </w:div>
    <w:div w:id="1809738835">
      <w:bodyDiv w:val="1"/>
      <w:marLeft w:val="0"/>
      <w:marRight w:val="0"/>
      <w:marTop w:val="0"/>
      <w:marBottom w:val="0"/>
      <w:divBdr>
        <w:top w:val="none" w:sz="0" w:space="0" w:color="auto"/>
        <w:left w:val="none" w:sz="0" w:space="0" w:color="auto"/>
        <w:bottom w:val="none" w:sz="0" w:space="0" w:color="auto"/>
        <w:right w:val="none" w:sz="0" w:space="0" w:color="auto"/>
      </w:divBdr>
    </w:div>
    <w:div w:id="1907455566">
      <w:bodyDiv w:val="1"/>
      <w:marLeft w:val="0"/>
      <w:marRight w:val="0"/>
      <w:marTop w:val="0"/>
      <w:marBottom w:val="0"/>
      <w:divBdr>
        <w:top w:val="none" w:sz="0" w:space="0" w:color="auto"/>
        <w:left w:val="none" w:sz="0" w:space="0" w:color="auto"/>
        <w:bottom w:val="none" w:sz="0" w:space="0" w:color="auto"/>
        <w:right w:val="none" w:sz="0" w:space="0" w:color="auto"/>
      </w:divBdr>
    </w:div>
    <w:div w:id="2059086813">
      <w:bodyDiv w:val="1"/>
      <w:marLeft w:val="0"/>
      <w:marRight w:val="0"/>
      <w:marTop w:val="0"/>
      <w:marBottom w:val="0"/>
      <w:divBdr>
        <w:top w:val="none" w:sz="0" w:space="0" w:color="auto"/>
        <w:left w:val="none" w:sz="0" w:space="0" w:color="auto"/>
        <w:bottom w:val="none" w:sz="0" w:space="0" w:color="auto"/>
        <w:right w:val="none" w:sz="0" w:space="0" w:color="auto"/>
      </w:divBdr>
    </w:div>
    <w:div w:id="212442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E0D6D50918C143AE32760F526AAA6D" ma:contentTypeVersion="10" ma:contentTypeDescription="Create a new document." ma:contentTypeScope="" ma:versionID="198601d5ac5fd6af9a76fed2235ed543">
  <xsd:schema xmlns:xsd="http://www.w3.org/2001/XMLSchema" xmlns:xs="http://www.w3.org/2001/XMLSchema" xmlns:p="http://schemas.microsoft.com/office/2006/metadata/properties" xmlns:ns2="14f82c86-6ffe-4688-9df8-5b59457064dc" targetNamespace="http://schemas.microsoft.com/office/2006/metadata/properties" ma:root="true" ma:fieldsID="01e67c57ee22058c3d1c2f7ec0767b32" ns2:_="">
    <xsd:import namespace="14f82c86-6ffe-4688-9df8-5b59457064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82c86-6ffe-4688-9df8-5b59457064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362c7eb-5c45-4d0a-8479-4b30401fcac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f82c86-6ffe-4688-9df8-5b59457064d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B1F62F-6970-4095-9B6D-A4225A742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82c86-6ffe-4688-9df8-5b59457064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61EA96-18AF-B546-A392-E4524DDE3E23}">
  <ds:schemaRefs>
    <ds:schemaRef ds:uri="http://schemas.openxmlformats.org/officeDocument/2006/bibliography"/>
  </ds:schemaRefs>
</ds:datastoreItem>
</file>

<file path=customXml/itemProps3.xml><?xml version="1.0" encoding="utf-8"?>
<ds:datastoreItem xmlns:ds="http://schemas.openxmlformats.org/officeDocument/2006/customXml" ds:itemID="{8C7E9DF5-DE38-4960-9DB2-A6A8ADE6EA2B}">
  <ds:schemaRefs>
    <ds:schemaRef ds:uri="http://schemas.microsoft.com/office/2006/metadata/properties"/>
    <ds:schemaRef ds:uri="http://schemas.microsoft.com/office/infopath/2007/PartnerControls"/>
    <ds:schemaRef ds:uri="14f82c86-6ffe-4688-9df8-5b59457064dc"/>
  </ds:schemaRefs>
</ds:datastoreItem>
</file>

<file path=customXml/itemProps4.xml><?xml version="1.0" encoding="utf-8"?>
<ds:datastoreItem xmlns:ds="http://schemas.openxmlformats.org/officeDocument/2006/customXml" ds:itemID="{B40B7A93-0AE0-4C4A-9B42-2B2206709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20</Pages>
  <Words>6868</Words>
  <Characters>42725</Characters>
  <Application>Microsoft Office Word</Application>
  <DocSecurity>0</DocSecurity>
  <Lines>890</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CDR</dc:creator>
  <cp:keywords/>
  <dc:description/>
  <cp:lastModifiedBy>Bellamy, Elijah J</cp:lastModifiedBy>
  <cp:revision>74</cp:revision>
  <cp:lastPrinted>2025-09-16T18:16:00Z</cp:lastPrinted>
  <dcterms:created xsi:type="dcterms:W3CDTF">2025-09-15T11:38:00Z</dcterms:created>
  <dcterms:modified xsi:type="dcterms:W3CDTF">2026-03-10T01:36:00Z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0x01010077E0D6D50918C143AE32760F526AAA6D</vt:lpwstr>
  </property>
  <property fmtid="{D5CDD505-2E9C-101B-9397-08002B2CF9AE}" pid="3" name="MediaServiceImageTags">
    <vt:lpwstr/>
  </property>
</Properties>
</file>