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8DF34" w14:textId="6F997C66" w:rsidR="004A13A7" w:rsidRPr="00A51D1A" w:rsidRDefault="00AA7E93" w:rsidP="004A13A7">
      <w:pPr>
        <w:pStyle w:val="ACMAReportTitle"/>
      </w:pPr>
      <w:bookmarkStart w:id="0" w:name="_Toc6298709"/>
      <w:r>
        <w:t xml:space="preserve">400 MHz </w:t>
      </w:r>
      <w:r w:rsidR="00411A85">
        <w:t>p</w:t>
      </w:r>
      <w:r>
        <w:t>lan</w:t>
      </w:r>
    </w:p>
    <w:p w14:paraId="3B452875" w14:textId="77777777" w:rsidR="00AA7E93" w:rsidRDefault="00AA7E93" w:rsidP="004A13A7">
      <w:pPr>
        <w:pStyle w:val="ACMAInstructions"/>
      </w:pPr>
    </w:p>
    <w:p w14:paraId="49390778" w14:textId="67E0EF31" w:rsidR="004A13A7" w:rsidRPr="00063A18" w:rsidRDefault="004A13A7" w:rsidP="004A13A7">
      <w:pPr>
        <w:pStyle w:val="ACMAInstructions"/>
      </w:pPr>
      <w:r w:rsidRPr="00063A18">
        <w:t xml:space="preserve">Radiocommunications </w:t>
      </w:r>
      <w:r>
        <w:t>A</w:t>
      </w:r>
      <w:r w:rsidRPr="00063A18">
        <w:t xml:space="preserve">ssignment and </w:t>
      </w:r>
      <w:r>
        <w:t>L</w:t>
      </w:r>
      <w:r w:rsidRPr="00063A18">
        <w:t xml:space="preserve">icensing </w:t>
      </w:r>
      <w:r>
        <w:t>I</w:t>
      </w:r>
      <w:r w:rsidRPr="00063A18">
        <w:t>nstruction</w:t>
      </w:r>
    </w:p>
    <w:p w14:paraId="2BE05472" w14:textId="66129E1C" w:rsidR="004A13A7" w:rsidRPr="00C87159" w:rsidRDefault="004A13A7" w:rsidP="004A13A7">
      <w:pPr>
        <w:pStyle w:val="ACMAReportDate"/>
        <w:rPr>
          <w:b/>
        </w:rPr>
      </w:pPr>
      <w:r w:rsidRPr="00C87159">
        <w:rPr>
          <w:b/>
        </w:rPr>
        <w:t xml:space="preserve">rali: MS </w:t>
      </w:r>
      <w:r w:rsidR="00AA7E93">
        <w:rPr>
          <w:b/>
        </w:rPr>
        <w:t>22</w:t>
      </w:r>
    </w:p>
    <w:p w14:paraId="581468B0" w14:textId="4C0497D1" w:rsidR="004A13A7" w:rsidRPr="00C87159" w:rsidRDefault="004A13A7" w:rsidP="008F7E36">
      <w:pPr>
        <w:pStyle w:val="ACMAReportDate"/>
        <w:widowControl w:val="0"/>
        <w:rPr>
          <w:b/>
        </w:rPr>
      </w:pPr>
      <w:r w:rsidRPr="00C87159">
        <w:rPr>
          <w:b/>
        </w:rPr>
        <w:t xml:space="preserve">date of effect: </w:t>
      </w:r>
      <w:r w:rsidR="002B0EBC">
        <w:rPr>
          <w:b/>
        </w:rPr>
        <w:t>17</w:t>
      </w:r>
      <w:r w:rsidR="00AA7E93">
        <w:rPr>
          <w:b/>
        </w:rPr>
        <w:t xml:space="preserve"> </w:t>
      </w:r>
      <w:r w:rsidR="002B0EBC">
        <w:rPr>
          <w:b/>
        </w:rPr>
        <w:t>January</w:t>
      </w:r>
      <w:r w:rsidR="00AA7E93">
        <w:rPr>
          <w:b/>
        </w:rPr>
        <w:t xml:space="preserve"> 20</w:t>
      </w:r>
      <w:r w:rsidR="002B0EBC">
        <w:rPr>
          <w:b/>
        </w:rPr>
        <w:t>20</w:t>
      </w:r>
    </w:p>
    <w:p w14:paraId="22010886" w14:textId="77777777" w:rsidR="0040306E" w:rsidRDefault="008D6BD1" w:rsidP="0040306E">
      <w:pPr>
        <w:spacing w:after="0" w:line="240" w:lineRule="auto"/>
      </w:pPr>
      <w:r>
        <w:br w:type="page"/>
      </w:r>
    </w:p>
    <w:p w14:paraId="1CB0B554" w14:textId="77777777" w:rsidR="00822B3D" w:rsidRDefault="00822B3D" w:rsidP="00BA5A9D">
      <w:pPr>
        <w:pStyle w:val="Heading1"/>
        <w:rPr>
          <w:szCs w:val="44"/>
        </w:rPr>
        <w:sectPr w:rsidR="00822B3D" w:rsidSect="00A07457">
          <w:footerReference w:type="default" r:id="rId8"/>
          <w:headerReference w:type="first" r:id="rId9"/>
          <w:type w:val="oddPage"/>
          <w:pgSz w:w="11906" w:h="16838"/>
          <w:pgMar w:top="3251" w:right="1440" w:bottom="1440" w:left="1440" w:header="708" w:footer="708" w:gutter="0"/>
          <w:pgNumType w:fmt="lowerRoman" w:start="1"/>
          <w:cols w:space="708"/>
          <w:titlePg/>
          <w:docGrid w:linePitch="360"/>
        </w:sectPr>
      </w:pPr>
    </w:p>
    <w:p w14:paraId="42291748" w14:textId="77777777" w:rsidR="004A13A7" w:rsidRPr="00420CAF" w:rsidRDefault="004A13A7" w:rsidP="00420CAF">
      <w:pPr>
        <w:rPr>
          <w:sz w:val="32"/>
        </w:rPr>
      </w:pPr>
      <w:r w:rsidRPr="00420CAF">
        <w:rPr>
          <w:sz w:val="32"/>
          <w:szCs w:val="32"/>
        </w:rPr>
        <w:lastRenderedPageBreak/>
        <w:t>Amendment history</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5"/>
        <w:gridCol w:w="6528"/>
      </w:tblGrid>
      <w:tr w:rsidR="004A13A7" w:rsidRPr="002E390A" w14:paraId="45CE43D1" w14:textId="77777777" w:rsidTr="00AA7E93">
        <w:trPr>
          <w:cantSplit/>
          <w:tblHeader/>
        </w:trPr>
        <w:tc>
          <w:tcPr>
            <w:tcW w:w="2085" w:type="dxa"/>
            <w:shd w:val="clear" w:color="auto" w:fill="D9D9D9"/>
          </w:tcPr>
          <w:p w14:paraId="3D6EEEBC" w14:textId="77777777" w:rsidR="004A13A7" w:rsidRPr="00AF06C8" w:rsidRDefault="004A13A7" w:rsidP="00AA7E93">
            <w:pPr>
              <w:pStyle w:val="TableHeading"/>
              <w:spacing w:line="240" w:lineRule="auto"/>
              <w:rPr>
                <w:rFonts w:eastAsiaTheme="minorHAnsi"/>
                <w:szCs w:val="22"/>
              </w:rPr>
            </w:pPr>
            <w:r w:rsidRPr="00AF06C8">
              <w:rPr>
                <w:rFonts w:eastAsiaTheme="minorHAnsi"/>
                <w:szCs w:val="22"/>
              </w:rPr>
              <w:t>Date</w:t>
            </w:r>
          </w:p>
        </w:tc>
        <w:tc>
          <w:tcPr>
            <w:tcW w:w="6528" w:type="dxa"/>
            <w:shd w:val="clear" w:color="auto" w:fill="D9D9D9"/>
          </w:tcPr>
          <w:p w14:paraId="63C98A5F" w14:textId="77777777" w:rsidR="004A13A7" w:rsidRPr="00AF06C8" w:rsidRDefault="004A13A7" w:rsidP="00AA7E93">
            <w:pPr>
              <w:pStyle w:val="TableHeading"/>
              <w:spacing w:line="240" w:lineRule="auto"/>
              <w:rPr>
                <w:rFonts w:eastAsiaTheme="minorHAnsi"/>
                <w:szCs w:val="22"/>
              </w:rPr>
            </w:pPr>
            <w:r w:rsidRPr="00AF06C8">
              <w:rPr>
                <w:rFonts w:eastAsiaTheme="minorHAnsi"/>
                <w:szCs w:val="22"/>
              </w:rPr>
              <w:t>Comments</w:t>
            </w:r>
          </w:p>
        </w:tc>
      </w:tr>
      <w:tr w:rsidR="00AA7E93" w14:paraId="24F3DEDF" w14:textId="77777777" w:rsidTr="00AA7E93">
        <w:tc>
          <w:tcPr>
            <w:tcW w:w="2085" w:type="dxa"/>
            <w:tcBorders>
              <w:top w:val="single" w:sz="4" w:space="0" w:color="auto"/>
              <w:left w:val="single" w:sz="4" w:space="0" w:color="auto"/>
              <w:bottom w:val="single" w:sz="4" w:space="0" w:color="auto"/>
              <w:right w:val="single" w:sz="4" w:space="0" w:color="auto"/>
            </w:tcBorders>
          </w:tcPr>
          <w:p w14:paraId="56049C6E" w14:textId="77777777" w:rsidR="00AA7E93" w:rsidRPr="00AA7E93" w:rsidRDefault="00AA7E93" w:rsidP="00AA7E93">
            <w:pPr>
              <w:pStyle w:val="TableBody"/>
              <w:rPr>
                <w:rFonts w:eastAsiaTheme="minorHAnsi"/>
                <w:szCs w:val="22"/>
              </w:rPr>
            </w:pPr>
            <w:r w:rsidRPr="00AA7E93">
              <w:rPr>
                <w:rFonts w:eastAsiaTheme="minorHAnsi"/>
                <w:szCs w:val="22"/>
              </w:rPr>
              <w:t>1995</w:t>
            </w:r>
          </w:p>
        </w:tc>
        <w:tc>
          <w:tcPr>
            <w:tcW w:w="6528" w:type="dxa"/>
            <w:tcBorders>
              <w:top w:val="single" w:sz="4" w:space="0" w:color="auto"/>
              <w:left w:val="single" w:sz="4" w:space="0" w:color="auto"/>
              <w:bottom w:val="single" w:sz="4" w:space="0" w:color="auto"/>
              <w:right w:val="single" w:sz="4" w:space="0" w:color="auto"/>
            </w:tcBorders>
          </w:tcPr>
          <w:p w14:paraId="09F20699" w14:textId="77777777" w:rsidR="00AA7E93" w:rsidRPr="00AA7E93" w:rsidRDefault="00AA7E93" w:rsidP="00AA7E93">
            <w:pPr>
              <w:pStyle w:val="TableBody"/>
              <w:rPr>
                <w:rFonts w:eastAsiaTheme="minorHAnsi"/>
                <w:szCs w:val="22"/>
              </w:rPr>
            </w:pPr>
            <w:r w:rsidRPr="00AA7E93">
              <w:rPr>
                <w:rFonts w:eastAsiaTheme="minorHAnsi"/>
                <w:szCs w:val="22"/>
              </w:rPr>
              <w:t>Adjustment of segment boundaries and addition of allocation arrangements for single frequency narrowband services and 400 MHz wideband fixed point-to-point and point-to-multipoint services in rural areas.</w:t>
            </w:r>
          </w:p>
        </w:tc>
      </w:tr>
      <w:tr w:rsidR="00AA7E93" w14:paraId="1DF719AE" w14:textId="77777777" w:rsidTr="00AA7E93">
        <w:tc>
          <w:tcPr>
            <w:tcW w:w="2085" w:type="dxa"/>
            <w:tcBorders>
              <w:top w:val="single" w:sz="4" w:space="0" w:color="auto"/>
              <w:left w:val="single" w:sz="4" w:space="0" w:color="auto"/>
              <w:bottom w:val="single" w:sz="4" w:space="0" w:color="auto"/>
              <w:right w:val="single" w:sz="4" w:space="0" w:color="auto"/>
            </w:tcBorders>
          </w:tcPr>
          <w:p w14:paraId="3AB9C8D5" w14:textId="77777777" w:rsidR="00AA7E93" w:rsidRPr="00AA7E93" w:rsidRDefault="00AA7E93" w:rsidP="00AA7E93">
            <w:pPr>
              <w:pStyle w:val="TableBody"/>
              <w:rPr>
                <w:rFonts w:eastAsiaTheme="minorHAnsi"/>
                <w:szCs w:val="22"/>
              </w:rPr>
            </w:pPr>
            <w:r w:rsidRPr="00AA7E93">
              <w:rPr>
                <w:rFonts w:eastAsiaTheme="minorHAnsi"/>
                <w:szCs w:val="22"/>
              </w:rPr>
              <w:t>1997</w:t>
            </w:r>
          </w:p>
        </w:tc>
        <w:tc>
          <w:tcPr>
            <w:tcW w:w="6528" w:type="dxa"/>
            <w:tcBorders>
              <w:top w:val="single" w:sz="4" w:space="0" w:color="auto"/>
              <w:left w:val="single" w:sz="4" w:space="0" w:color="auto"/>
              <w:bottom w:val="single" w:sz="4" w:space="0" w:color="auto"/>
              <w:right w:val="single" w:sz="4" w:space="0" w:color="auto"/>
            </w:tcBorders>
          </w:tcPr>
          <w:p w14:paraId="045A7996" w14:textId="77777777" w:rsidR="00AA7E93" w:rsidRPr="00AA7E93" w:rsidRDefault="00AA7E93" w:rsidP="00AA7E93">
            <w:pPr>
              <w:pStyle w:val="TableBody"/>
              <w:rPr>
                <w:rFonts w:eastAsiaTheme="minorHAnsi"/>
                <w:szCs w:val="22"/>
              </w:rPr>
            </w:pPr>
            <w:r w:rsidRPr="00AA7E93">
              <w:rPr>
                <w:rFonts w:eastAsiaTheme="minorHAnsi"/>
                <w:szCs w:val="22"/>
              </w:rPr>
              <w:t>The allocations for a number of single frequency segments were changed and segment G was reduced in bandwidth by approximately 600 kHz. The nominal emission bandwidth for the wideband rural fixed point-to-multipoint service was increased to 1.82 MHz.</w:t>
            </w:r>
          </w:p>
        </w:tc>
      </w:tr>
      <w:tr w:rsidR="00AA7E93" w14:paraId="58C3D14D" w14:textId="77777777" w:rsidTr="00AA7E93">
        <w:tc>
          <w:tcPr>
            <w:tcW w:w="2085" w:type="dxa"/>
            <w:tcBorders>
              <w:top w:val="single" w:sz="4" w:space="0" w:color="auto"/>
              <w:left w:val="single" w:sz="4" w:space="0" w:color="auto"/>
              <w:bottom w:val="single" w:sz="4" w:space="0" w:color="auto"/>
              <w:right w:val="single" w:sz="4" w:space="0" w:color="auto"/>
            </w:tcBorders>
          </w:tcPr>
          <w:p w14:paraId="2BA0E5CE" w14:textId="77777777" w:rsidR="00AA7E93" w:rsidRPr="00AA7E93" w:rsidRDefault="00AA7E93" w:rsidP="00AA7E93">
            <w:pPr>
              <w:pStyle w:val="TableBody"/>
              <w:rPr>
                <w:rFonts w:eastAsiaTheme="minorHAnsi"/>
                <w:szCs w:val="22"/>
              </w:rPr>
            </w:pPr>
            <w:r w:rsidRPr="00AA7E93">
              <w:rPr>
                <w:rFonts w:eastAsiaTheme="minorHAnsi"/>
                <w:szCs w:val="22"/>
              </w:rPr>
              <w:t>2000</w:t>
            </w:r>
          </w:p>
        </w:tc>
        <w:tc>
          <w:tcPr>
            <w:tcW w:w="6528" w:type="dxa"/>
            <w:tcBorders>
              <w:top w:val="single" w:sz="4" w:space="0" w:color="auto"/>
              <w:left w:val="single" w:sz="4" w:space="0" w:color="auto"/>
              <w:bottom w:val="single" w:sz="4" w:space="0" w:color="auto"/>
              <w:right w:val="single" w:sz="4" w:space="0" w:color="auto"/>
            </w:tcBorders>
          </w:tcPr>
          <w:p w14:paraId="569CCF26" w14:textId="66B4B2D6" w:rsidR="00AA7E93" w:rsidRPr="00AA7E93" w:rsidRDefault="00AA7E93" w:rsidP="00AA7E93">
            <w:pPr>
              <w:pStyle w:val="TableBody"/>
              <w:rPr>
                <w:rFonts w:eastAsiaTheme="minorHAnsi"/>
                <w:szCs w:val="22"/>
              </w:rPr>
            </w:pPr>
            <w:r w:rsidRPr="00AA7E93">
              <w:rPr>
                <w:rFonts w:eastAsiaTheme="minorHAnsi"/>
                <w:szCs w:val="22"/>
              </w:rPr>
              <w:t xml:space="preserve">Clarification of support for low and </w:t>
            </w:r>
            <w:r w:rsidR="00E05B94" w:rsidRPr="00AA7E93">
              <w:rPr>
                <w:rFonts w:eastAsiaTheme="minorHAnsi"/>
                <w:szCs w:val="22"/>
              </w:rPr>
              <w:t>high-power</w:t>
            </w:r>
            <w:r w:rsidRPr="00AA7E93">
              <w:rPr>
                <w:rFonts w:eastAsiaTheme="minorHAnsi"/>
                <w:szCs w:val="22"/>
              </w:rPr>
              <w:t xml:space="preserve"> mobile applications within segments allocated to the single frequency land mobile service. </w:t>
            </w:r>
          </w:p>
        </w:tc>
      </w:tr>
      <w:tr w:rsidR="00AA7E93" w14:paraId="1229DF77" w14:textId="77777777" w:rsidTr="00AA7E93">
        <w:tc>
          <w:tcPr>
            <w:tcW w:w="2085" w:type="dxa"/>
            <w:tcBorders>
              <w:top w:val="single" w:sz="4" w:space="0" w:color="auto"/>
              <w:left w:val="single" w:sz="4" w:space="0" w:color="auto"/>
              <w:bottom w:val="single" w:sz="4" w:space="0" w:color="auto"/>
              <w:right w:val="single" w:sz="4" w:space="0" w:color="auto"/>
            </w:tcBorders>
          </w:tcPr>
          <w:p w14:paraId="6B415169" w14:textId="77777777" w:rsidR="00AA7E93" w:rsidRPr="00AA7E93" w:rsidRDefault="00AA7E93" w:rsidP="00AA7E93">
            <w:pPr>
              <w:pStyle w:val="TableBody"/>
              <w:rPr>
                <w:rFonts w:eastAsiaTheme="minorHAnsi"/>
                <w:szCs w:val="22"/>
              </w:rPr>
            </w:pPr>
            <w:r w:rsidRPr="00AA7E93">
              <w:rPr>
                <w:rFonts w:eastAsiaTheme="minorHAnsi"/>
                <w:szCs w:val="22"/>
              </w:rPr>
              <w:t>2002</w:t>
            </w:r>
          </w:p>
        </w:tc>
        <w:tc>
          <w:tcPr>
            <w:tcW w:w="6528" w:type="dxa"/>
            <w:tcBorders>
              <w:top w:val="single" w:sz="4" w:space="0" w:color="auto"/>
              <w:left w:val="single" w:sz="4" w:space="0" w:color="auto"/>
              <w:bottom w:val="single" w:sz="4" w:space="0" w:color="auto"/>
              <w:right w:val="single" w:sz="4" w:space="0" w:color="auto"/>
            </w:tcBorders>
          </w:tcPr>
          <w:p w14:paraId="43DD0C33" w14:textId="1850789C" w:rsidR="00AA7E93" w:rsidRPr="00AA7E93" w:rsidRDefault="00AA7E93" w:rsidP="00AA7E93">
            <w:pPr>
              <w:pStyle w:val="TableBody"/>
              <w:rPr>
                <w:rFonts w:eastAsiaTheme="minorHAnsi"/>
                <w:szCs w:val="22"/>
              </w:rPr>
            </w:pPr>
            <w:r w:rsidRPr="00AA7E93">
              <w:rPr>
                <w:rFonts w:eastAsiaTheme="minorHAnsi"/>
                <w:szCs w:val="22"/>
              </w:rPr>
              <w:t xml:space="preserve">This release provides new opportunities for point-to-multipoint applications in segments allocated for land mobile use. The </w:t>
            </w:r>
            <w:r w:rsidR="00411A85">
              <w:rPr>
                <w:rFonts w:eastAsiaTheme="minorHAnsi"/>
                <w:szCs w:val="22"/>
              </w:rPr>
              <w:t>p</w:t>
            </w:r>
            <w:r w:rsidRPr="00AA7E93">
              <w:rPr>
                <w:rFonts w:eastAsiaTheme="minorHAnsi"/>
                <w:szCs w:val="22"/>
              </w:rPr>
              <w:t>lan was also restructured to more appropriately present policy and historical information.</w:t>
            </w:r>
          </w:p>
        </w:tc>
      </w:tr>
      <w:tr w:rsidR="00AA7E93" w14:paraId="58D77C67" w14:textId="77777777" w:rsidTr="00AA7E93">
        <w:tc>
          <w:tcPr>
            <w:tcW w:w="2085" w:type="dxa"/>
            <w:tcBorders>
              <w:top w:val="single" w:sz="4" w:space="0" w:color="auto"/>
              <w:left w:val="single" w:sz="4" w:space="0" w:color="auto"/>
              <w:bottom w:val="single" w:sz="4" w:space="0" w:color="auto"/>
              <w:right w:val="single" w:sz="4" w:space="0" w:color="auto"/>
            </w:tcBorders>
          </w:tcPr>
          <w:p w14:paraId="6B6E9106" w14:textId="77777777" w:rsidR="00AA7E93" w:rsidRPr="00AA7E93" w:rsidRDefault="00AA7E93" w:rsidP="00AA7E93">
            <w:pPr>
              <w:pStyle w:val="TableBody"/>
              <w:rPr>
                <w:rFonts w:eastAsiaTheme="minorHAnsi"/>
                <w:szCs w:val="22"/>
              </w:rPr>
            </w:pPr>
            <w:r w:rsidRPr="00AA7E93">
              <w:rPr>
                <w:rFonts w:eastAsiaTheme="minorHAnsi"/>
                <w:szCs w:val="22"/>
              </w:rPr>
              <w:t>February 2011</w:t>
            </w:r>
          </w:p>
        </w:tc>
        <w:tc>
          <w:tcPr>
            <w:tcW w:w="6528" w:type="dxa"/>
            <w:tcBorders>
              <w:top w:val="single" w:sz="4" w:space="0" w:color="auto"/>
              <w:left w:val="single" w:sz="4" w:space="0" w:color="auto"/>
              <w:bottom w:val="single" w:sz="4" w:space="0" w:color="auto"/>
              <w:right w:val="single" w:sz="4" w:space="0" w:color="auto"/>
            </w:tcBorders>
          </w:tcPr>
          <w:p w14:paraId="0BBE873F" w14:textId="77777777" w:rsidR="00AA7E93" w:rsidRPr="00AA7E93" w:rsidRDefault="00AA7E93" w:rsidP="00AA7E93">
            <w:pPr>
              <w:pStyle w:val="TableBody"/>
              <w:rPr>
                <w:rFonts w:eastAsiaTheme="minorHAnsi"/>
                <w:szCs w:val="22"/>
              </w:rPr>
            </w:pPr>
            <w:r w:rsidRPr="00AA7E93">
              <w:rPr>
                <w:rFonts w:eastAsiaTheme="minorHAnsi"/>
                <w:szCs w:val="22"/>
              </w:rPr>
              <w:t>In response to a review of the 400 MHz band a wide range of changes were introduced including the adoption of 12.5 kHz channels throughout the narrowband channel raster (with advice on channel splitting for 6.25 kHz if required), realignment of segment boundaries and restructure of 450–470 MHz to accommodate a 10 MHz duplex frequency split. Segments were set aside to be used exclusively for federal, state and territory government purposes. The use of trunking was encouraged in all segments allocated for the land mobile service.</w:t>
            </w:r>
          </w:p>
          <w:p w14:paraId="27573D4D" w14:textId="622FB849" w:rsidR="00AA7E93" w:rsidRPr="00AA7E93" w:rsidRDefault="00AA7E93" w:rsidP="00AA7E93">
            <w:pPr>
              <w:pStyle w:val="TableBody"/>
              <w:rPr>
                <w:rFonts w:eastAsiaTheme="minorHAnsi"/>
                <w:szCs w:val="22"/>
              </w:rPr>
            </w:pPr>
            <w:r w:rsidRPr="00AA7E93">
              <w:rPr>
                <w:rFonts w:eastAsiaTheme="minorHAnsi"/>
                <w:szCs w:val="22"/>
              </w:rPr>
              <w:t xml:space="preserve">The frequency range 420–430 MHz was added to the scope of the </w:t>
            </w:r>
            <w:r w:rsidRPr="00C42A28">
              <w:rPr>
                <w:rFonts w:eastAsiaTheme="minorHAnsi"/>
                <w:i/>
                <w:iCs/>
                <w:szCs w:val="22"/>
              </w:rPr>
              <w:t xml:space="preserve">400 MHz </w:t>
            </w:r>
            <w:r w:rsidR="00411A85" w:rsidRPr="00C42A28">
              <w:rPr>
                <w:rFonts w:eastAsiaTheme="minorHAnsi"/>
                <w:i/>
                <w:iCs/>
                <w:szCs w:val="22"/>
              </w:rPr>
              <w:t>p</w:t>
            </w:r>
            <w:r w:rsidRPr="00C42A28">
              <w:rPr>
                <w:rFonts w:eastAsiaTheme="minorHAnsi"/>
                <w:i/>
                <w:iCs/>
                <w:szCs w:val="22"/>
              </w:rPr>
              <w:t>lan</w:t>
            </w:r>
            <w:r w:rsidRPr="00AA7E93">
              <w:rPr>
                <w:rFonts w:eastAsiaTheme="minorHAnsi"/>
                <w:szCs w:val="22"/>
              </w:rPr>
              <w:t>.</w:t>
            </w:r>
          </w:p>
        </w:tc>
      </w:tr>
      <w:tr w:rsidR="00AA7E93" w14:paraId="758CDF41" w14:textId="77777777" w:rsidTr="00AA7E93">
        <w:tc>
          <w:tcPr>
            <w:tcW w:w="2085" w:type="dxa"/>
            <w:tcBorders>
              <w:top w:val="single" w:sz="4" w:space="0" w:color="auto"/>
              <w:left w:val="single" w:sz="4" w:space="0" w:color="auto"/>
              <w:bottom w:val="single" w:sz="4" w:space="0" w:color="auto"/>
              <w:right w:val="single" w:sz="4" w:space="0" w:color="auto"/>
            </w:tcBorders>
          </w:tcPr>
          <w:p w14:paraId="5DCC558E" w14:textId="77777777" w:rsidR="00AA7E93" w:rsidRPr="00AA7E93" w:rsidRDefault="00AA7E93" w:rsidP="00AA7E93">
            <w:pPr>
              <w:pStyle w:val="TableBody"/>
              <w:rPr>
                <w:rFonts w:eastAsiaTheme="minorHAnsi"/>
                <w:szCs w:val="22"/>
              </w:rPr>
            </w:pPr>
            <w:r w:rsidRPr="00AA7E93">
              <w:rPr>
                <w:rFonts w:eastAsiaTheme="minorHAnsi"/>
                <w:szCs w:val="22"/>
              </w:rPr>
              <w:t>May 2012</w:t>
            </w:r>
          </w:p>
        </w:tc>
        <w:tc>
          <w:tcPr>
            <w:tcW w:w="6528" w:type="dxa"/>
            <w:tcBorders>
              <w:top w:val="single" w:sz="4" w:space="0" w:color="auto"/>
              <w:left w:val="single" w:sz="4" w:space="0" w:color="auto"/>
              <w:bottom w:val="single" w:sz="4" w:space="0" w:color="auto"/>
              <w:right w:val="single" w:sz="4" w:space="0" w:color="auto"/>
            </w:tcBorders>
          </w:tcPr>
          <w:p w14:paraId="02FB1623" w14:textId="77777777" w:rsidR="00AA7E93" w:rsidRPr="00AA7E93" w:rsidRDefault="00AA7E93" w:rsidP="00AA7E93">
            <w:pPr>
              <w:pStyle w:val="TableBody"/>
              <w:rPr>
                <w:rFonts w:eastAsiaTheme="minorHAnsi"/>
                <w:szCs w:val="22"/>
              </w:rPr>
            </w:pPr>
            <w:r w:rsidRPr="00AA7E93">
              <w:rPr>
                <w:rFonts w:eastAsiaTheme="minorHAnsi"/>
                <w:szCs w:val="22"/>
              </w:rPr>
              <w:t>Updated to reflect the revocation of the 500 MHz spectrum licence designation notice and that these segments reverted to apparatus licensing throughout Australia. The segments used for rail purposes were also given greater visibility and channels specifically for area wide applications were added.</w:t>
            </w:r>
          </w:p>
        </w:tc>
      </w:tr>
      <w:tr w:rsidR="00AA7E93" w14:paraId="1C0DBEE7" w14:textId="77777777" w:rsidTr="00AA7E93">
        <w:tc>
          <w:tcPr>
            <w:tcW w:w="2085" w:type="dxa"/>
            <w:tcBorders>
              <w:top w:val="single" w:sz="4" w:space="0" w:color="auto"/>
              <w:left w:val="single" w:sz="4" w:space="0" w:color="auto"/>
              <w:bottom w:val="single" w:sz="4" w:space="0" w:color="auto"/>
              <w:right w:val="single" w:sz="4" w:space="0" w:color="auto"/>
            </w:tcBorders>
          </w:tcPr>
          <w:p w14:paraId="385DB6B4" w14:textId="77777777" w:rsidR="00AA7E93" w:rsidRPr="00AA7E93" w:rsidRDefault="00AA7E93" w:rsidP="00AA7E93">
            <w:pPr>
              <w:pStyle w:val="TableBody"/>
              <w:rPr>
                <w:rFonts w:eastAsiaTheme="minorHAnsi"/>
                <w:szCs w:val="22"/>
              </w:rPr>
            </w:pPr>
            <w:r w:rsidRPr="00AA7E93">
              <w:rPr>
                <w:rFonts w:eastAsiaTheme="minorHAnsi"/>
                <w:szCs w:val="22"/>
              </w:rPr>
              <w:t>January 2015</w:t>
            </w:r>
          </w:p>
        </w:tc>
        <w:tc>
          <w:tcPr>
            <w:tcW w:w="6528" w:type="dxa"/>
            <w:tcBorders>
              <w:top w:val="single" w:sz="4" w:space="0" w:color="auto"/>
              <w:left w:val="single" w:sz="4" w:space="0" w:color="auto"/>
              <w:bottom w:val="single" w:sz="4" w:space="0" w:color="auto"/>
              <w:right w:val="single" w:sz="4" w:space="0" w:color="auto"/>
            </w:tcBorders>
          </w:tcPr>
          <w:p w14:paraId="7E36EC22" w14:textId="77777777" w:rsidR="00AA7E93" w:rsidRPr="00AA7E93" w:rsidRDefault="00AA7E93" w:rsidP="00AA7E93">
            <w:pPr>
              <w:pStyle w:val="TableBody"/>
              <w:rPr>
                <w:rFonts w:eastAsiaTheme="minorHAnsi"/>
                <w:szCs w:val="22"/>
              </w:rPr>
            </w:pPr>
            <w:r w:rsidRPr="00AA7E93">
              <w:rPr>
                <w:rFonts w:eastAsiaTheme="minorHAnsi"/>
                <w:szCs w:val="22"/>
              </w:rPr>
              <w:t>Updated to identify further channels set aside for use by the rail industry and to reflect changes to the assignment priority of spectrum utilised by the point-to-multipoint services. Also amended to better align segment boundaries to maximise the number of available channels.</w:t>
            </w:r>
          </w:p>
        </w:tc>
      </w:tr>
      <w:tr w:rsidR="00AA7E93" w14:paraId="484C2D2E" w14:textId="77777777" w:rsidTr="00AA7E93">
        <w:tc>
          <w:tcPr>
            <w:tcW w:w="2085" w:type="dxa"/>
            <w:tcBorders>
              <w:top w:val="single" w:sz="4" w:space="0" w:color="auto"/>
              <w:left w:val="single" w:sz="4" w:space="0" w:color="auto"/>
              <w:bottom w:val="single" w:sz="4" w:space="0" w:color="auto"/>
              <w:right w:val="single" w:sz="4" w:space="0" w:color="auto"/>
            </w:tcBorders>
          </w:tcPr>
          <w:p w14:paraId="566162C8" w14:textId="66E4E5E1" w:rsidR="00AA7E93" w:rsidRPr="00AA7E93" w:rsidRDefault="002B0EBC" w:rsidP="00AA7E93">
            <w:pPr>
              <w:pStyle w:val="TableBody"/>
              <w:rPr>
                <w:rFonts w:eastAsiaTheme="minorHAnsi"/>
                <w:szCs w:val="22"/>
              </w:rPr>
            </w:pPr>
            <w:r>
              <w:rPr>
                <w:rFonts w:eastAsiaTheme="minorHAnsi"/>
                <w:szCs w:val="22"/>
              </w:rPr>
              <w:t>January</w:t>
            </w:r>
            <w:r w:rsidR="00AA7E93" w:rsidRPr="00AA7E93">
              <w:rPr>
                <w:rFonts w:eastAsiaTheme="minorHAnsi"/>
                <w:szCs w:val="22"/>
              </w:rPr>
              <w:t xml:space="preserve"> 20</w:t>
            </w:r>
            <w:r>
              <w:rPr>
                <w:rFonts w:eastAsiaTheme="minorHAnsi"/>
                <w:szCs w:val="22"/>
              </w:rPr>
              <w:t>20</w:t>
            </w:r>
          </w:p>
        </w:tc>
        <w:tc>
          <w:tcPr>
            <w:tcW w:w="6528" w:type="dxa"/>
            <w:tcBorders>
              <w:top w:val="single" w:sz="4" w:space="0" w:color="auto"/>
              <w:left w:val="single" w:sz="4" w:space="0" w:color="auto"/>
              <w:bottom w:val="single" w:sz="4" w:space="0" w:color="auto"/>
              <w:right w:val="single" w:sz="4" w:space="0" w:color="auto"/>
            </w:tcBorders>
          </w:tcPr>
          <w:p w14:paraId="71177BB4" w14:textId="77777777" w:rsidR="00AA7E93" w:rsidRPr="00AA7E93" w:rsidRDefault="00AA7E93" w:rsidP="00AA7E93">
            <w:pPr>
              <w:pStyle w:val="TableBody"/>
              <w:rPr>
                <w:rFonts w:eastAsiaTheme="minorHAnsi"/>
                <w:szCs w:val="22"/>
              </w:rPr>
            </w:pPr>
            <w:r w:rsidRPr="00AA7E93">
              <w:rPr>
                <w:rFonts w:eastAsiaTheme="minorHAnsi"/>
                <w:szCs w:val="22"/>
              </w:rPr>
              <w:t>Addition of frequencies for enclosed and short-range digital systems.</w:t>
            </w:r>
          </w:p>
          <w:p w14:paraId="2CF19B8F" w14:textId="0A305165" w:rsidR="00AA7E93" w:rsidRPr="00AA7E93" w:rsidRDefault="00AA7E93" w:rsidP="00AA7E93">
            <w:pPr>
              <w:pStyle w:val="TableBody"/>
              <w:rPr>
                <w:rFonts w:eastAsiaTheme="minorHAnsi"/>
                <w:szCs w:val="22"/>
              </w:rPr>
            </w:pPr>
            <w:r w:rsidRPr="00AA7E93">
              <w:rPr>
                <w:rFonts w:eastAsiaTheme="minorHAnsi"/>
                <w:szCs w:val="22"/>
              </w:rPr>
              <w:t>Adjustments to Appendix B (transition arrangements) to reflect the passage of time</w:t>
            </w:r>
            <w:r w:rsidR="00B9266A">
              <w:rPr>
                <w:rFonts w:eastAsiaTheme="minorHAnsi"/>
                <w:szCs w:val="22"/>
              </w:rPr>
              <w:t xml:space="preserve"> and decisions made to </w:t>
            </w:r>
            <w:r w:rsidR="00B9266A">
              <w:t>assist in the completion of the 400 MHz implementation</w:t>
            </w:r>
          </w:p>
          <w:p w14:paraId="56990B1D" w14:textId="64C6E829" w:rsidR="00AA7E93" w:rsidRPr="00AA7E93" w:rsidRDefault="00AA7E93" w:rsidP="00B9266A">
            <w:pPr>
              <w:pStyle w:val="TableBody"/>
              <w:rPr>
                <w:rFonts w:eastAsiaTheme="minorHAnsi"/>
                <w:szCs w:val="22"/>
              </w:rPr>
            </w:pPr>
          </w:p>
        </w:tc>
      </w:tr>
    </w:tbl>
    <w:p w14:paraId="76D607B0" w14:textId="77777777" w:rsidR="004A13A7" w:rsidRDefault="004A13A7" w:rsidP="004A13A7">
      <w:pPr>
        <w:pStyle w:val="ACMASpaceaftertable"/>
      </w:pPr>
    </w:p>
    <w:p w14:paraId="2DE5218C" w14:textId="77777777" w:rsidR="00AA7E93" w:rsidRDefault="00AA7E93" w:rsidP="004A13A7">
      <w:pPr>
        <w:rPr>
          <w:szCs w:val="22"/>
        </w:rPr>
      </w:pPr>
    </w:p>
    <w:p w14:paraId="31650701" w14:textId="77777777" w:rsidR="00064CAA" w:rsidRDefault="00064CAA" w:rsidP="004A13A7">
      <w:pPr>
        <w:rPr>
          <w:szCs w:val="22"/>
        </w:rPr>
      </w:pPr>
      <w:r>
        <w:rPr>
          <w:szCs w:val="22"/>
        </w:rPr>
        <w:br w:type="page"/>
      </w:r>
    </w:p>
    <w:p w14:paraId="0BF1DFE7" w14:textId="29E0D556" w:rsidR="004A13A7" w:rsidRPr="00AF06C8" w:rsidRDefault="004A13A7" w:rsidP="004A13A7">
      <w:pPr>
        <w:rPr>
          <w:szCs w:val="22"/>
        </w:rPr>
      </w:pPr>
      <w:r w:rsidRPr="00AF06C8">
        <w:rPr>
          <w:szCs w:val="22"/>
        </w:rPr>
        <w:t xml:space="preserve">Suggestions for improvements to Radiocommunications Assignment and Licensing Instruction </w:t>
      </w:r>
      <w:r w:rsidR="00AA7E93">
        <w:rPr>
          <w:szCs w:val="22"/>
        </w:rPr>
        <w:t>MS 22</w:t>
      </w:r>
      <w:r w:rsidRPr="00AF06C8">
        <w:rPr>
          <w:szCs w:val="22"/>
        </w:rPr>
        <w:t xml:space="preserve"> may be addressed to:</w:t>
      </w:r>
    </w:p>
    <w:p w14:paraId="59276939" w14:textId="77777777" w:rsidR="004A13A7" w:rsidRPr="00AF06C8" w:rsidRDefault="004A13A7" w:rsidP="004A13A7">
      <w:pPr>
        <w:rPr>
          <w:szCs w:val="22"/>
        </w:rPr>
      </w:pPr>
      <w:r w:rsidRPr="00AF06C8">
        <w:rPr>
          <w:szCs w:val="22"/>
        </w:rPr>
        <w:lastRenderedPageBreak/>
        <w:t xml:space="preserve">The Manager, Spectrum </w:t>
      </w:r>
      <w:r w:rsidR="00746A68">
        <w:rPr>
          <w:szCs w:val="22"/>
        </w:rPr>
        <w:t>Planning Section</w:t>
      </w:r>
      <w:r w:rsidRPr="00AF06C8">
        <w:rPr>
          <w:szCs w:val="22"/>
        </w:rPr>
        <w:br/>
        <w:t>Australian Communications and Media Authority</w:t>
      </w:r>
      <w:r w:rsidRPr="00AF06C8">
        <w:rPr>
          <w:szCs w:val="22"/>
        </w:rPr>
        <w:br/>
        <w:t xml:space="preserve">PO Box 78 </w:t>
      </w:r>
      <w:r w:rsidRPr="00AF06C8">
        <w:rPr>
          <w:szCs w:val="22"/>
        </w:rPr>
        <w:br/>
        <w:t>Belconnen ACT 2616</w:t>
      </w:r>
    </w:p>
    <w:p w14:paraId="57FC9469" w14:textId="77777777" w:rsidR="004A13A7" w:rsidRPr="00AF06C8" w:rsidRDefault="004A13A7" w:rsidP="004A13A7">
      <w:pPr>
        <w:rPr>
          <w:rFonts w:cstheme="minorHAnsi"/>
          <w:szCs w:val="22"/>
        </w:rPr>
      </w:pPr>
      <w:r w:rsidRPr="00AF06C8">
        <w:rPr>
          <w:rFonts w:cstheme="minorHAnsi"/>
          <w:szCs w:val="22"/>
        </w:rPr>
        <w:t xml:space="preserve">or by email to: </w:t>
      </w:r>
      <w:hyperlink r:id="rId10" w:history="1">
        <w:r w:rsidRPr="00AF06C8">
          <w:rPr>
            <w:rStyle w:val="Hyperlink"/>
            <w:rFonts w:cstheme="minorHAnsi"/>
            <w:szCs w:val="22"/>
          </w:rPr>
          <w:t>freqplan@acma.gov.au</w:t>
        </w:r>
      </w:hyperlink>
      <w:r w:rsidRPr="00AF06C8">
        <w:rPr>
          <w:rFonts w:cstheme="minorHAnsi"/>
          <w:szCs w:val="22"/>
        </w:rPr>
        <w:t>.</w:t>
      </w:r>
    </w:p>
    <w:p w14:paraId="0FD65EC8" w14:textId="77777777" w:rsidR="00B95DA7" w:rsidRPr="00AF06C8" w:rsidRDefault="004A13A7" w:rsidP="004A13A7">
      <w:pPr>
        <w:rPr>
          <w:szCs w:val="22"/>
        </w:rPr>
      </w:pPr>
      <w:r w:rsidRPr="00AF06C8">
        <w:rPr>
          <w:szCs w:val="22"/>
        </w:rPr>
        <w:t>Please notify the ACMA of any inaccuracy or ambiguity found in this RALI, so that it can be investigated and appropriate action taken.</w:t>
      </w:r>
    </w:p>
    <w:p w14:paraId="2DFEE1F1" w14:textId="77777777" w:rsidR="00822B3D" w:rsidRDefault="00822B3D" w:rsidP="004A13A7">
      <w:pPr>
        <w:rPr>
          <w:b/>
          <w:sz w:val="52"/>
          <w:szCs w:val="52"/>
        </w:rPr>
        <w:sectPr w:rsidR="00822B3D" w:rsidSect="00822B3D">
          <w:footerReference w:type="even" r:id="rId11"/>
          <w:type w:val="evenPage"/>
          <w:pgSz w:w="11906" w:h="16838"/>
          <w:pgMar w:top="1440" w:right="1440" w:bottom="1440" w:left="1440" w:header="708" w:footer="708" w:gutter="0"/>
          <w:pgNumType w:fmt="lowerRoman" w:start="2"/>
          <w:cols w:space="708"/>
          <w:docGrid w:linePitch="360"/>
        </w:sectPr>
      </w:pPr>
    </w:p>
    <w:sdt>
      <w:sdtPr>
        <w:rPr>
          <w:b w:val="0"/>
          <w:color w:val="auto"/>
          <w:spacing w:val="0"/>
          <w:sz w:val="24"/>
        </w:rPr>
        <w:id w:val="2122026567"/>
        <w:docPartObj>
          <w:docPartGallery w:val="Table of Contents"/>
          <w:docPartUnique/>
        </w:docPartObj>
      </w:sdtPr>
      <w:sdtEndPr>
        <w:rPr>
          <w:bCs/>
          <w:noProof/>
          <w:sz w:val="22"/>
        </w:rPr>
      </w:sdtEndPr>
      <w:sdtContent>
        <w:p w14:paraId="262EB8BD" w14:textId="77777777" w:rsidR="00097D72" w:rsidRDefault="00097D72">
          <w:pPr>
            <w:pStyle w:val="TOCHeading"/>
          </w:pPr>
          <w:r>
            <w:t>Contents</w:t>
          </w:r>
        </w:p>
        <w:p w14:paraId="06EEDC8A" w14:textId="5CE7106B" w:rsidR="00C42A28" w:rsidRDefault="00097D72">
          <w:pPr>
            <w:pStyle w:val="TOC1"/>
            <w:tabs>
              <w:tab w:val="left" w:pos="885"/>
            </w:tabs>
            <w:rPr>
              <w:rFonts w:asciiTheme="minorHAnsi" w:eastAsiaTheme="minorEastAsia" w:hAnsiTheme="minorHAnsi" w:cstheme="minorBidi"/>
              <w:b w:val="0"/>
              <w:spacing w:val="0"/>
              <w:sz w:val="22"/>
              <w:szCs w:val="22"/>
            </w:rPr>
          </w:pPr>
          <w:r>
            <w:fldChar w:fldCharType="begin"/>
          </w:r>
          <w:r>
            <w:instrText xml:space="preserve"> TOC \o "1-3" \h \z \u </w:instrText>
          </w:r>
          <w:r>
            <w:fldChar w:fldCharType="separate"/>
          </w:r>
          <w:hyperlink w:anchor="_Toc26530624" w:history="1">
            <w:r w:rsidR="00C42A28" w:rsidRPr="00E326C7">
              <w:rPr>
                <w:rStyle w:val="Hyperlink"/>
                <w14:scene3d>
                  <w14:camera w14:prst="orthographicFront"/>
                  <w14:lightRig w14:rig="threePt" w14:dir="t">
                    <w14:rot w14:lat="0" w14:lon="0" w14:rev="0"/>
                  </w14:lightRig>
                </w14:scene3d>
              </w:rPr>
              <w:t>1</w:t>
            </w:r>
            <w:r w:rsidR="00C42A28">
              <w:rPr>
                <w:rFonts w:asciiTheme="minorHAnsi" w:eastAsiaTheme="minorEastAsia" w:hAnsiTheme="minorHAnsi" w:cstheme="minorBidi"/>
                <w:b w:val="0"/>
                <w:spacing w:val="0"/>
                <w:sz w:val="22"/>
                <w:szCs w:val="22"/>
              </w:rPr>
              <w:tab/>
            </w:r>
            <w:r w:rsidR="00C42A28" w:rsidRPr="00E326C7">
              <w:rPr>
                <w:rStyle w:val="Hyperlink"/>
              </w:rPr>
              <w:t>Introduction</w:t>
            </w:r>
            <w:r w:rsidR="00C42A28">
              <w:rPr>
                <w:webHidden/>
              </w:rPr>
              <w:tab/>
            </w:r>
            <w:r w:rsidR="00C42A28">
              <w:rPr>
                <w:webHidden/>
              </w:rPr>
              <w:fldChar w:fldCharType="begin"/>
            </w:r>
            <w:r w:rsidR="00C42A28">
              <w:rPr>
                <w:webHidden/>
              </w:rPr>
              <w:instrText xml:space="preserve"> PAGEREF _Toc26530624 \h </w:instrText>
            </w:r>
            <w:r w:rsidR="00C42A28">
              <w:rPr>
                <w:webHidden/>
              </w:rPr>
            </w:r>
            <w:r w:rsidR="00C42A28">
              <w:rPr>
                <w:webHidden/>
              </w:rPr>
              <w:fldChar w:fldCharType="separate"/>
            </w:r>
            <w:r w:rsidR="00064CAA">
              <w:rPr>
                <w:webHidden/>
              </w:rPr>
              <w:t>1</w:t>
            </w:r>
            <w:r w:rsidR="00C42A28">
              <w:rPr>
                <w:webHidden/>
              </w:rPr>
              <w:fldChar w:fldCharType="end"/>
            </w:r>
          </w:hyperlink>
        </w:p>
        <w:p w14:paraId="148F5A80" w14:textId="3C751B20" w:rsidR="00C42A28" w:rsidRDefault="002B0EBC">
          <w:pPr>
            <w:pStyle w:val="TOC2"/>
            <w:rPr>
              <w:rFonts w:asciiTheme="minorHAnsi" w:eastAsiaTheme="minorEastAsia" w:hAnsiTheme="minorHAnsi" w:cstheme="minorBidi"/>
              <w:spacing w:val="0"/>
              <w:sz w:val="22"/>
              <w:szCs w:val="22"/>
            </w:rPr>
          </w:pPr>
          <w:hyperlink w:anchor="_Toc26530625" w:history="1">
            <w:r w:rsidR="00C42A28" w:rsidRPr="00E326C7">
              <w:rPr>
                <w:rStyle w:val="Hyperlink"/>
              </w:rPr>
              <w:t>1.1</w:t>
            </w:r>
            <w:r w:rsidR="00C42A28">
              <w:rPr>
                <w:rFonts w:asciiTheme="minorHAnsi" w:eastAsiaTheme="minorEastAsia" w:hAnsiTheme="minorHAnsi" w:cstheme="minorBidi"/>
                <w:spacing w:val="0"/>
                <w:sz w:val="22"/>
                <w:szCs w:val="22"/>
              </w:rPr>
              <w:tab/>
            </w:r>
            <w:r w:rsidR="00C42A28" w:rsidRPr="00E326C7">
              <w:rPr>
                <w:rStyle w:val="Hyperlink"/>
              </w:rPr>
              <w:t>Purpose</w:t>
            </w:r>
            <w:r w:rsidR="00C42A28">
              <w:rPr>
                <w:webHidden/>
              </w:rPr>
              <w:tab/>
            </w:r>
            <w:r w:rsidR="00C42A28">
              <w:rPr>
                <w:webHidden/>
              </w:rPr>
              <w:fldChar w:fldCharType="begin"/>
            </w:r>
            <w:r w:rsidR="00C42A28">
              <w:rPr>
                <w:webHidden/>
              </w:rPr>
              <w:instrText xml:space="preserve"> PAGEREF _Toc26530625 \h </w:instrText>
            </w:r>
            <w:r w:rsidR="00C42A28">
              <w:rPr>
                <w:webHidden/>
              </w:rPr>
            </w:r>
            <w:r w:rsidR="00C42A28">
              <w:rPr>
                <w:webHidden/>
              </w:rPr>
              <w:fldChar w:fldCharType="separate"/>
            </w:r>
            <w:r w:rsidR="00064CAA">
              <w:rPr>
                <w:webHidden/>
              </w:rPr>
              <w:t>1</w:t>
            </w:r>
            <w:r w:rsidR="00C42A28">
              <w:rPr>
                <w:webHidden/>
              </w:rPr>
              <w:fldChar w:fldCharType="end"/>
            </w:r>
          </w:hyperlink>
        </w:p>
        <w:p w14:paraId="5A8F9519" w14:textId="1D54B408" w:rsidR="00C42A28" w:rsidRDefault="002B0EBC">
          <w:pPr>
            <w:pStyle w:val="TOC1"/>
            <w:tabs>
              <w:tab w:val="left" w:pos="885"/>
            </w:tabs>
            <w:rPr>
              <w:rFonts w:asciiTheme="minorHAnsi" w:eastAsiaTheme="minorEastAsia" w:hAnsiTheme="minorHAnsi" w:cstheme="minorBidi"/>
              <w:b w:val="0"/>
              <w:spacing w:val="0"/>
              <w:sz w:val="22"/>
              <w:szCs w:val="22"/>
            </w:rPr>
          </w:pPr>
          <w:hyperlink w:anchor="_Toc26530626" w:history="1">
            <w:r w:rsidR="00C42A28" w:rsidRPr="00E326C7">
              <w:rPr>
                <w:rStyle w:val="Hyperlink"/>
                <w14:scene3d>
                  <w14:camera w14:prst="orthographicFront"/>
                  <w14:lightRig w14:rig="threePt" w14:dir="t">
                    <w14:rot w14:lat="0" w14:lon="0" w14:rev="0"/>
                  </w14:lightRig>
                </w14:scene3d>
              </w:rPr>
              <w:t>2</w:t>
            </w:r>
            <w:r w:rsidR="00C42A28">
              <w:rPr>
                <w:rFonts w:asciiTheme="minorHAnsi" w:eastAsiaTheme="minorEastAsia" w:hAnsiTheme="minorHAnsi" w:cstheme="minorBidi"/>
                <w:b w:val="0"/>
                <w:spacing w:val="0"/>
                <w:sz w:val="22"/>
                <w:szCs w:val="22"/>
              </w:rPr>
              <w:tab/>
            </w:r>
            <w:r w:rsidR="00C42A28" w:rsidRPr="00E326C7">
              <w:rPr>
                <w:rStyle w:val="Hyperlink"/>
              </w:rPr>
              <w:t>Spectrum arrangements</w:t>
            </w:r>
            <w:r w:rsidR="00C42A28">
              <w:rPr>
                <w:webHidden/>
              </w:rPr>
              <w:tab/>
            </w:r>
            <w:r w:rsidR="00C42A28">
              <w:rPr>
                <w:webHidden/>
              </w:rPr>
              <w:fldChar w:fldCharType="begin"/>
            </w:r>
            <w:r w:rsidR="00C42A28">
              <w:rPr>
                <w:webHidden/>
              </w:rPr>
              <w:instrText xml:space="preserve"> PAGEREF _Toc26530626 \h </w:instrText>
            </w:r>
            <w:r w:rsidR="00C42A28">
              <w:rPr>
                <w:webHidden/>
              </w:rPr>
            </w:r>
            <w:r w:rsidR="00C42A28">
              <w:rPr>
                <w:webHidden/>
              </w:rPr>
              <w:fldChar w:fldCharType="separate"/>
            </w:r>
            <w:r w:rsidR="00064CAA">
              <w:rPr>
                <w:webHidden/>
              </w:rPr>
              <w:t>2</w:t>
            </w:r>
            <w:r w:rsidR="00C42A28">
              <w:rPr>
                <w:webHidden/>
              </w:rPr>
              <w:fldChar w:fldCharType="end"/>
            </w:r>
          </w:hyperlink>
        </w:p>
        <w:p w14:paraId="5157CD8D" w14:textId="5C8BD971" w:rsidR="00C42A28" w:rsidRDefault="002B0EBC">
          <w:pPr>
            <w:pStyle w:val="TOC2"/>
            <w:rPr>
              <w:rFonts w:asciiTheme="minorHAnsi" w:eastAsiaTheme="minorEastAsia" w:hAnsiTheme="minorHAnsi" w:cstheme="minorBidi"/>
              <w:spacing w:val="0"/>
              <w:sz w:val="22"/>
              <w:szCs w:val="22"/>
            </w:rPr>
          </w:pPr>
          <w:hyperlink w:anchor="_Toc26530627" w:history="1">
            <w:r w:rsidR="00C42A28" w:rsidRPr="00E326C7">
              <w:rPr>
                <w:rStyle w:val="Hyperlink"/>
              </w:rPr>
              <w:t>2.1</w:t>
            </w:r>
            <w:r w:rsidR="00C42A28">
              <w:rPr>
                <w:rFonts w:asciiTheme="minorHAnsi" w:eastAsiaTheme="minorEastAsia" w:hAnsiTheme="minorHAnsi" w:cstheme="minorBidi"/>
                <w:spacing w:val="0"/>
                <w:sz w:val="22"/>
                <w:szCs w:val="22"/>
              </w:rPr>
              <w:tab/>
            </w:r>
            <w:r w:rsidR="00C42A28" w:rsidRPr="00E326C7">
              <w:rPr>
                <w:rStyle w:val="Hyperlink"/>
              </w:rPr>
              <w:t>Narrowband services</w:t>
            </w:r>
            <w:r w:rsidR="00C42A28">
              <w:rPr>
                <w:webHidden/>
              </w:rPr>
              <w:tab/>
            </w:r>
            <w:r w:rsidR="00C42A28">
              <w:rPr>
                <w:webHidden/>
              </w:rPr>
              <w:fldChar w:fldCharType="begin"/>
            </w:r>
            <w:r w:rsidR="00C42A28">
              <w:rPr>
                <w:webHidden/>
              </w:rPr>
              <w:instrText xml:space="preserve"> PAGEREF _Toc26530627 \h </w:instrText>
            </w:r>
            <w:r w:rsidR="00C42A28">
              <w:rPr>
                <w:webHidden/>
              </w:rPr>
            </w:r>
            <w:r w:rsidR="00C42A28">
              <w:rPr>
                <w:webHidden/>
              </w:rPr>
              <w:fldChar w:fldCharType="separate"/>
            </w:r>
            <w:r w:rsidR="00064CAA">
              <w:rPr>
                <w:webHidden/>
              </w:rPr>
              <w:t>2</w:t>
            </w:r>
            <w:r w:rsidR="00C42A28">
              <w:rPr>
                <w:webHidden/>
              </w:rPr>
              <w:fldChar w:fldCharType="end"/>
            </w:r>
          </w:hyperlink>
        </w:p>
        <w:p w14:paraId="30758286" w14:textId="35700EED" w:rsidR="00C42A28" w:rsidRDefault="002B0EBC">
          <w:pPr>
            <w:pStyle w:val="TOC2"/>
            <w:rPr>
              <w:rFonts w:asciiTheme="minorHAnsi" w:eastAsiaTheme="minorEastAsia" w:hAnsiTheme="minorHAnsi" w:cstheme="minorBidi"/>
              <w:spacing w:val="0"/>
              <w:sz w:val="22"/>
              <w:szCs w:val="22"/>
            </w:rPr>
          </w:pPr>
          <w:hyperlink w:anchor="_Toc26530628" w:history="1">
            <w:r w:rsidR="00C42A28" w:rsidRPr="00E326C7">
              <w:rPr>
                <w:rStyle w:val="Hyperlink"/>
              </w:rPr>
              <w:t>2.2</w:t>
            </w:r>
            <w:r w:rsidR="00C42A28">
              <w:rPr>
                <w:rFonts w:asciiTheme="minorHAnsi" w:eastAsiaTheme="minorEastAsia" w:hAnsiTheme="minorHAnsi" w:cstheme="minorBidi"/>
                <w:spacing w:val="0"/>
                <w:sz w:val="22"/>
                <w:szCs w:val="22"/>
              </w:rPr>
              <w:tab/>
            </w:r>
            <w:r w:rsidR="00C42A28" w:rsidRPr="00E326C7">
              <w:rPr>
                <w:rStyle w:val="Hyperlink"/>
              </w:rPr>
              <w:t>Wideband rural services</w:t>
            </w:r>
            <w:r w:rsidR="00C42A28">
              <w:rPr>
                <w:webHidden/>
              </w:rPr>
              <w:tab/>
            </w:r>
            <w:r w:rsidR="00C42A28">
              <w:rPr>
                <w:webHidden/>
              </w:rPr>
              <w:fldChar w:fldCharType="begin"/>
            </w:r>
            <w:r w:rsidR="00C42A28">
              <w:rPr>
                <w:webHidden/>
              </w:rPr>
              <w:instrText xml:space="preserve"> PAGEREF _Toc26530628 \h </w:instrText>
            </w:r>
            <w:r w:rsidR="00C42A28">
              <w:rPr>
                <w:webHidden/>
              </w:rPr>
            </w:r>
            <w:r w:rsidR="00C42A28">
              <w:rPr>
                <w:webHidden/>
              </w:rPr>
              <w:fldChar w:fldCharType="separate"/>
            </w:r>
            <w:r w:rsidR="00064CAA">
              <w:rPr>
                <w:webHidden/>
              </w:rPr>
              <w:t>3</w:t>
            </w:r>
            <w:r w:rsidR="00C42A28">
              <w:rPr>
                <w:webHidden/>
              </w:rPr>
              <w:fldChar w:fldCharType="end"/>
            </w:r>
          </w:hyperlink>
        </w:p>
        <w:p w14:paraId="271D2287" w14:textId="48E7A69F" w:rsidR="00C42A28" w:rsidRDefault="002B0EBC">
          <w:pPr>
            <w:pStyle w:val="TOC1"/>
            <w:tabs>
              <w:tab w:val="left" w:pos="885"/>
            </w:tabs>
            <w:rPr>
              <w:rFonts w:asciiTheme="minorHAnsi" w:eastAsiaTheme="minorEastAsia" w:hAnsiTheme="minorHAnsi" w:cstheme="minorBidi"/>
              <w:b w:val="0"/>
              <w:spacing w:val="0"/>
              <w:sz w:val="22"/>
              <w:szCs w:val="22"/>
            </w:rPr>
          </w:pPr>
          <w:hyperlink w:anchor="_Toc26530629" w:history="1">
            <w:r w:rsidR="00C42A28" w:rsidRPr="00E326C7">
              <w:rPr>
                <w:rStyle w:val="Hyperlink"/>
                <w14:scene3d>
                  <w14:camera w14:prst="orthographicFront"/>
                  <w14:lightRig w14:rig="threePt" w14:dir="t">
                    <w14:rot w14:lat="0" w14:lon="0" w14:rev="0"/>
                  </w14:lightRig>
                </w14:scene3d>
              </w:rPr>
              <w:t>3</w:t>
            </w:r>
            <w:r w:rsidR="00C42A28">
              <w:rPr>
                <w:rFonts w:asciiTheme="minorHAnsi" w:eastAsiaTheme="minorEastAsia" w:hAnsiTheme="minorHAnsi" w:cstheme="minorBidi"/>
                <w:b w:val="0"/>
                <w:spacing w:val="0"/>
                <w:sz w:val="22"/>
                <w:szCs w:val="22"/>
              </w:rPr>
              <w:tab/>
            </w:r>
            <w:r w:rsidR="00C42A28" w:rsidRPr="00E326C7">
              <w:rPr>
                <w:rStyle w:val="Hyperlink"/>
              </w:rPr>
              <w:t>Exceptions</w:t>
            </w:r>
            <w:r w:rsidR="00C42A28">
              <w:rPr>
                <w:webHidden/>
              </w:rPr>
              <w:tab/>
            </w:r>
            <w:r w:rsidR="00C42A28">
              <w:rPr>
                <w:webHidden/>
              </w:rPr>
              <w:fldChar w:fldCharType="begin"/>
            </w:r>
            <w:r w:rsidR="00C42A28">
              <w:rPr>
                <w:webHidden/>
              </w:rPr>
              <w:instrText xml:space="preserve"> PAGEREF _Toc26530629 \h </w:instrText>
            </w:r>
            <w:r w:rsidR="00C42A28">
              <w:rPr>
                <w:webHidden/>
              </w:rPr>
            </w:r>
            <w:r w:rsidR="00C42A28">
              <w:rPr>
                <w:webHidden/>
              </w:rPr>
              <w:fldChar w:fldCharType="separate"/>
            </w:r>
            <w:r w:rsidR="00064CAA">
              <w:rPr>
                <w:webHidden/>
              </w:rPr>
              <w:t>4</w:t>
            </w:r>
            <w:r w:rsidR="00C42A28">
              <w:rPr>
                <w:webHidden/>
              </w:rPr>
              <w:fldChar w:fldCharType="end"/>
            </w:r>
          </w:hyperlink>
        </w:p>
        <w:p w14:paraId="23C25256" w14:textId="05F8DB9B" w:rsidR="00C42A28" w:rsidRDefault="002B0EBC">
          <w:pPr>
            <w:pStyle w:val="TOC1"/>
            <w:tabs>
              <w:tab w:val="left" w:pos="885"/>
            </w:tabs>
            <w:rPr>
              <w:rFonts w:asciiTheme="minorHAnsi" w:eastAsiaTheme="minorEastAsia" w:hAnsiTheme="minorHAnsi" w:cstheme="minorBidi"/>
              <w:b w:val="0"/>
              <w:spacing w:val="0"/>
              <w:sz w:val="22"/>
              <w:szCs w:val="22"/>
            </w:rPr>
          </w:pPr>
          <w:hyperlink w:anchor="_Toc26530630" w:history="1">
            <w:r w:rsidR="00C42A28" w:rsidRPr="00E326C7">
              <w:rPr>
                <w:rStyle w:val="Hyperlink"/>
                <w14:scene3d>
                  <w14:camera w14:prst="orthographicFront"/>
                  <w14:lightRig w14:rig="threePt" w14:dir="t">
                    <w14:rot w14:lat="0" w14:lon="0" w14:rev="0"/>
                  </w14:lightRig>
                </w14:scene3d>
              </w:rPr>
              <w:t>4</w:t>
            </w:r>
            <w:r w:rsidR="00C42A28">
              <w:rPr>
                <w:rFonts w:asciiTheme="minorHAnsi" w:eastAsiaTheme="minorEastAsia" w:hAnsiTheme="minorHAnsi" w:cstheme="minorBidi"/>
                <w:b w:val="0"/>
                <w:spacing w:val="0"/>
                <w:sz w:val="22"/>
                <w:szCs w:val="22"/>
              </w:rPr>
              <w:tab/>
            </w:r>
            <w:r w:rsidR="00C42A28" w:rsidRPr="00E326C7">
              <w:rPr>
                <w:rStyle w:val="Hyperlink"/>
              </w:rPr>
              <w:t>RALI authorisation</w:t>
            </w:r>
            <w:r w:rsidR="00C42A28">
              <w:rPr>
                <w:webHidden/>
              </w:rPr>
              <w:tab/>
            </w:r>
            <w:r w:rsidR="00C42A28">
              <w:rPr>
                <w:webHidden/>
              </w:rPr>
              <w:fldChar w:fldCharType="begin"/>
            </w:r>
            <w:r w:rsidR="00C42A28">
              <w:rPr>
                <w:webHidden/>
              </w:rPr>
              <w:instrText xml:space="preserve"> PAGEREF _Toc26530630 \h </w:instrText>
            </w:r>
            <w:r w:rsidR="00C42A28">
              <w:rPr>
                <w:webHidden/>
              </w:rPr>
            </w:r>
            <w:r w:rsidR="00C42A28">
              <w:rPr>
                <w:webHidden/>
              </w:rPr>
              <w:fldChar w:fldCharType="separate"/>
            </w:r>
            <w:r w:rsidR="00064CAA">
              <w:rPr>
                <w:webHidden/>
              </w:rPr>
              <w:t>5</w:t>
            </w:r>
            <w:r w:rsidR="00C42A28">
              <w:rPr>
                <w:webHidden/>
              </w:rPr>
              <w:fldChar w:fldCharType="end"/>
            </w:r>
          </w:hyperlink>
        </w:p>
        <w:p w14:paraId="70DD770B" w14:textId="1A428AA9" w:rsidR="00C42A28" w:rsidRDefault="002B0EBC">
          <w:pPr>
            <w:pStyle w:val="TOC1"/>
            <w:rPr>
              <w:rFonts w:asciiTheme="minorHAnsi" w:eastAsiaTheme="minorEastAsia" w:hAnsiTheme="minorHAnsi" w:cstheme="minorBidi"/>
              <w:b w:val="0"/>
              <w:spacing w:val="0"/>
              <w:sz w:val="22"/>
              <w:szCs w:val="22"/>
            </w:rPr>
          </w:pPr>
          <w:hyperlink w:anchor="_Toc26530631" w:history="1">
            <w:r w:rsidR="00C42A28" w:rsidRPr="00E326C7">
              <w:rPr>
                <w:rStyle w:val="Hyperlink"/>
              </w:rPr>
              <w:t>Appendix A: Allocation and channelling arrangements</w:t>
            </w:r>
            <w:r w:rsidR="00C42A28">
              <w:rPr>
                <w:webHidden/>
              </w:rPr>
              <w:tab/>
            </w:r>
            <w:r w:rsidR="00C42A28">
              <w:rPr>
                <w:webHidden/>
              </w:rPr>
              <w:fldChar w:fldCharType="begin"/>
            </w:r>
            <w:r w:rsidR="00C42A28">
              <w:rPr>
                <w:webHidden/>
              </w:rPr>
              <w:instrText xml:space="preserve"> PAGEREF _Toc26530631 \h </w:instrText>
            </w:r>
            <w:r w:rsidR="00C42A28">
              <w:rPr>
                <w:webHidden/>
              </w:rPr>
            </w:r>
            <w:r w:rsidR="00C42A28">
              <w:rPr>
                <w:webHidden/>
              </w:rPr>
              <w:fldChar w:fldCharType="separate"/>
            </w:r>
            <w:r w:rsidR="00064CAA">
              <w:rPr>
                <w:webHidden/>
              </w:rPr>
              <w:t>6</w:t>
            </w:r>
            <w:r w:rsidR="00C42A28">
              <w:rPr>
                <w:webHidden/>
              </w:rPr>
              <w:fldChar w:fldCharType="end"/>
            </w:r>
          </w:hyperlink>
        </w:p>
        <w:p w14:paraId="7B2CDDF9" w14:textId="5466DDA0" w:rsidR="00C42A28" w:rsidRDefault="002B0EBC">
          <w:pPr>
            <w:pStyle w:val="TOC1"/>
            <w:rPr>
              <w:rFonts w:asciiTheme="minorHAnsi" w:eastAsiaTheme="minorEastAsia" w:hAnsiTheme="minorHAnsi" w:cstheme="minorBidi"/>
              <w:b w:val="0"/>
              <w:spacing w:val="0"/>
              <w:sz w:val="22"/>
              <w:szCs w:val="22"/>
            </w:rPr>
          </w:pPr>
          <w:hyperlink w:anchor="_Toc26530632" w:history="1">
            <w:r w:rsidR="00C42A28" w:rsidRPr="00E326C7">
              <w:rPr>
                <w:rStyle w:val="Hyperlink"/>
              </w:rPr>
              <w:t>Appendix B: Transition Arrangements</w:t>
            </w:r>
            <w:r w:rsidR="00C42A28">
              <w:rPr>
                <w:webHidden/>
              </w:rPr>
              <w:tab/>
            </w:r>
            <w:r w:rsidR="00C42A28">
              <w:rPr>
                <w:webHidden/>
              </w:rPr>
              <w:fldChar w:fldCharType="begin"/>
            </w:r>
            <w:r w:rsidR="00C42A28">
              <w:rPr>
                <w:webHidden/>
              </w:rPr>
              <w:instrText xml:space="preserve"> PAGEREF _Toc26530632 \h </w:instrText>
            </w:r>
            <w:r w:rsidR="00C42A28">
              <w:rPr>
                <w:webHidden/>
              </w:rPr>
            </w:r>
            <w:r w:rsidR="00C42A28">
              <w:rPr>
                <w:webHidden/>
              </w:rPr>
              <w:fldChar w:fldCharType="separate"/>
            </w:r>
            <w:r w:rsidR="00064CAA">
              <w:rPr>
                <w:webHidden/>
              </w:rPr>
              <w:t>21</w:t>
            </w:r>
            <w:r w:rsidR="00C42A28">
              <w:rPr>
                <w:webHidden/>
              </w:rPr>
              <w:fldChar w:fldCharType="end"/>
            </w:r>
          </w:hyperlink>
        </w:p>
        <w:p w14:paraId="12AB3EEB" w14:textId="091BB4AC" w:rsidR="00097D72" w:rsidRDefault="00097D72">
          <w:r>
            <w:rPr>
              <w:b/>
              <w:bCs/>
              <w:noProof/>
            </w:rPr>
            <w:fldChar w:fldCharType="end"/>
          </w:r>
        </w:p>
      </w:sdtContent>
    </w:sdt>
    <w:p w14:paraId="4E9980E2" w14:textId="77777777" w:rsidR="00097D72" w:rsidRDefault="00097D72" w:rsidP="00097D72">
      <w:bookmarkStart w:id="1" w:name="_Toc8983846"/>
      <w:bookmarkStart w:id="2" w:name="_Toc8986370"/>
    </w:p>
    <w:p w14:paraId="71F22AD3" w14:textId="77777777" w:rsidR="001F0E76" w:rsidRPr="00420CAF" w:rsidRDefault="001F0E76" w:rsidP="00420CAF">
      <w:pPr>
        <w:sectPr w:rsidR="001F0E76" w:rsidRPr="00420CAF" w:rsidSect="00822B3D">
          <w:type w:val="oddPage"/>
          <w:pgSz w:w="11906" w:h="16838"/>
          <w:pgMar w:top="1440" w:right="1440" w:bottom="1440" w:left="1440" w:header="708" w:footer="708" w:gutter="0"/>
          <w:pgNumType w:fmt="lowerRoman" w:start="2"/>
          <w:cols w:space="708"/>
          <w:docGrid w:linePitch="360"/>
        </w:sectPr>
      </w:pPr>
    </w:p>
    <w:p w14:paraId="7261E0DA" w14:textId="77777777" w:rsidR="004A13A7" w:rsidRPr="00923D7A" w:rsidRDefault="004A13A7" w:rsidP="000B27C0">
      <w:pPr>
        <w:pStyle w:val="Heading1"/>
      </w:pPr>
      <w:bookmarkStart w:id="3" w:name="_Toc26530624"/>
      <w:r w:rsidRPr="000B27C0">
        <w:lastRenderedPageBreak/>
        <w:t>Introduction</w:t>
      </w:r>
      <w:bookmarkEnd w:id="0"/>
      <w:bookmarkEnd w:id="1"/>
      <w:bookmarkEnd w:id="2"/>
      <w:bookmarkEnd w:id="3"/>
    </w:p>
    <w:p w14:paraId="2FFC034F" w14:textId="77777777" w:rsidR="004A13A7" w:rsidRPr="00DE7566" w:rsidRDefault="004A13A7" w:rsidP="00254146">
      <w:pPr>
        <w:pStyle w:val="Heading2"/>
      </w:pPr>
      <w:bookmarkStart w:id="4" w:name="_Toc6298710"/>
      <w:bookmarkStart w:id="5" w:name="_Toc8983847"/>
      <w:bookmarkStart w:id="6" w:name="_Toc8986371"/>
      <w:bookmarkStart w:id="7" w:name="_Toc26530625"/>
      <w:r w:rsidRPr="00DE7566">
        <w:t>Purpose</w:t>
      </w:r>
      <w:bookmarkEnd w:id="4"/>
      <w:bookmarkEnd w:id="5"/>
      <w:bookmarkEnd w:id="6"/>
      <w:bookmarkEnd w:id="7"/>
    </w:p>
    <w:p w14:paraId="46F0F6EF" w14:textId="7A8F984D" w:rsidR="00AA7E93" w:rsidRDefault="00AA7E93" w:rsidP="00AA7E93">
      <w:pPr>
        <w:ind w:right="-23"/>
        <w:rPr>
          <w:sz w:val="20"/>
        </w:rPr>
      </w:pPr>
      <w:r>
        <w:t>The purpose of this Radiocommunications Assignment and Licensing Instruction (RALI) is to codify planning arrangements for radiocommunication services in the two bands 403</w:t>
      </w:r>
      <w:r>
        <w:rPr>
          <w:rFonts w:cs="Arial"/>
        </w:rPr>
        <w:t>–</w:t>
      </w:r>
      <w:r>
        <w:t>430 MHz and 450</w:t>
      </w:r>
      <w:r>
        <w:rPr>
          <w:rFonts w:cs="Arial"/>
        </w:rPr>
        <w:t>–</w:t>
      </w:r>
      <w:r>
        <w:t xml:space="preserve">520 MHz (known collectively as the 400 MHz band) by way of issuing the </w:t>
      </w:r>
      <w:r w:rsidRPr="00C42A28">
        <w:rPr>
          <w:i/>
          <w:iCs/>
        </w:rPr>
        <w:t>400 MHz Plan</w:t>
      </w:r>
      <w:r>
        <w:t xml:space="preserve">. The </w:t>
      </w:r>
      <w:r w:rsidR="00411A85">
        <w:t>p</w:t>
      </w:r>
      <w:r>
        <w:t>lan advises the service allocations in the two bands, specifies the segment frequency limits applicable to these allocations, and the channelling arrangements within these segments.</w:t>
      </w:r>
    </w:p>
    <w:p w14:paraId="56ABA144" w14:textId="3B4DE2AB" w:rsidR="00AA7E93" w:rsidRDefault="00AA7E93" w:rsidP="00AA7E93">
      <w:pPr>
        <w:ind w:right="-23"/>
      </w:pPr>
      <w:r>
        <w:t xml:space="preserve">The information in this RALI reflects the Australian Communications and Media Authority’s </w:t>
      </w:r>
      <w:r w:rsidR="00411A85">
        <w:t xml:space="preserve">(ACMA) </w:t>
      </w:r>
      <w:r>
        <w:t>statement of current policy in relation to planning arrangements for radiocommunications services in the 400 MHz band. In making decisions, accredited persons and ACMA</w:t>
      </w:r>
      <w:r w:rsidR="00411A85">
        <w:t xml:space="preserve"> </w:t>
      </w:r>
      <w:r>
        <w:t>officers should take all relevant factors into account and decide each case on its merits. If an issue related to this document appears to fall outside the enunciated policy, please contact:</w:t>
      </w:r>
    </w:p>
    <w:p w14:paraId="6627B8BB" w14:textId="77777777" w:rsidR="004A13A7" w:rsidRPr="00AF06C8" w:rsidRDefault="004A13A7" w:rsidP="00AF06C8">
      <w:pPr>
        <w:rPr>
          <w:szCs w:val="22"/>
        </w:rPr>
      </w:pPr>
      <w:r w:rsidRPr="00AF06C8">
        <w:rPr>
          <w:szCs w:val="22"/>
        </w:rPr>
        <w:t xml:space="preserve">The Manager, Spectrum </w:t>
      </w:r>
      <w:r w:rsidR="00746A68">
        <w:rPr>
          <w:szCs w:val="22"/>
        </w:rPr>
        <w:t>Planning Section</w:t>
      </w:r>
      <w:r w:rsidRPr="00AF06C8">
        <w:rPr>
          <w:szCs w:val="22"/>
        </w:rPr>
        <w:br/>
        <w:t>Australian Communications and Media Authority</w:t>
      </w:r>
      <w:r w:rsidRPr="00AF06C8">
        <w:rPr>
          <w:szCs w:val="22"/>
        </w:rPr>
        <w:br/>
        <w:t xml:space="preserve">PO Box 78 </w:t>
      </w:r>
      <w:r w:rsidRPr="00AF06C8">
        <w:rPr>
          <w:szCs w:val="22"/>
        </w:rPr>
        <w:br/>
        <w:t>Belconnen ACT 2616</w:t>
      </w:r>
    </w:p>
    <w:p w14:paraId="1CE6DB11" w14:textId="77777777" w:rsidR="004A13A7" w:rsidRPr="00AF06C8" w:rsidRDefault="004A13A7" w:rsidP="00AF06C8">
      <w:pPr>
        <w:rPr>
          <w:rFonts w:cstheme="minorHAnsi"/>
          <w:szCs w:val="22"/>
        </w:rPr>
      </w:pPr>
      <w:r w:rsidRPr="00AF06C8">
        <w:rPr>
          <w:rFonts w:cstheme="minorHAnsi"/>
          <w:szCs w:val="22"/>
        </w:rPr>
        <w:t xml:space="preserve">or by email to: </w:t>
      </w:r>
      <w:hyperlink r:id="rId12" w:history="1">
        <w:r w:rsidRPr="00AF06C8">
          <w:rPr>
            <w:rStyle w:val="Hyperlink"/>
            <w:rFonts w:cstheme="minorHAnsi"/>
            <w:szCs w:val="22"/>
          </w:rPr>
          <w:t>freqplan@acma.gov.au</w:t>
        </w:r>
      </w:hyperlink>
      <w:r w:rsidRPr="00AF06C8">
        <w:rPr>
          <w:rFonts w:cstheme="minorHAnsi"/>
          <w:szCs w:val="22"/>
        </w:rPr>
        <w:t>.</w:t>
      </w:r>
    </w:p>
    <w:p w14:paraId="7D9292DE" w14:textId="35FD83ED" w:rsidR="004A13A7" w:rsidRDefault="00AA7E93" w:rsidP="000B27C0">
      <w:pPr>
        <w:pStyle w:val="Heading1"/>
      </w:pPr>
      <w:bookmarkStart w:id="8" w:name="_Toc26530626"/>
      <w:r>
        <w:lastRenderedPageBreak/>
        <w:t xml:space="preserve">Spectrum </w:t>
      </w:r>
      <w:r w:rsidR="00411A85">
        <w:t>a</w:t>
      </w:r>
      <w:r>
        <w:t>rrangements</w:t>
      </w:r>
      <w:bookmarkEnd w:id="8"/>
    </w:p>
    <w:p w14:paraId="3A525941" w14:textId="6F7252CC" w:rsidR="00AA7E93" w:rsidRDefault="00AA7E93" w:rsidP="00AA7E93">
      <w:pPr>
        <w:ind w:right="-23"/>
        <w:rPr>
          <w:sz w:val="20"/>
        </w:rPr>
      </w:pPr>
      <w:r>
        <w:t xml:space="preserve">Allocation and channelling arrangements for the 400 MHz band are contained at Appendix A of this </w:t>
      </w:r>
      <w:r w:rsidR="00411A85">
        <w:t>p</w:t>
      </w:r>
      <w:r>
        <w:t xml:space="preserve">lan. Service allocations and channelling arrangements for narrowband services throughout Australia are detailed in Table 1 of the </w:t>
      </w:r>
      <w:r w:rsidR="00411A85">
        <w:t>a</w:t>
      </w:r>
      <w:r>
        <w:t xml:space="preserve">ppendix and illustrated in Figure 1 of the </w:t>
      </w:r>
      <w:r w:rsidR="00411A85">
        <w:t>a</w:t>
      </w:r>
      <w:r>
        <w:t xml:space="preserve">ppendix. Channelling arrangements for wideband fixed point-to-point and point-to-multipoint services that are provided for in rural Australia are detailed in Tables 2 and 3 of </w:t>
      </w:r>
      <w:r w:rsidR="00411A85">
        <w:t>a</w:t>
      </w:r>
      <w:r>
        <w:t>ppendix</w:t>
      </w:r>
      <w:r w:rsidR="00C42A28">
        <w:t xml:space="preserve"> A</w:t>
      </w:r>
      <w:r>
        <w:t xml:space="preserve"> and illustrated in Figures 2 and 3 of </w:t>
      </w:r>
      <w:r w:rsidR="00411A85">
        <w:t>a</w:t>
      </w:r>
      <w:r>
        <w:t xml:space="preserve">ppendix </w:t>
      </w:r>
      <w:r w:rsidR="00C42A28">
        <w:t xml:space="preserve">A </w:t>
      </w:r>
      <w:r>
        <w:t>respectively. Arrangements for the radiolocation and amateur services are outside of the scope of this plan.</w:t>
      </w:r>
    </w:p>
    <w:p w14:paraId="7B1956F1" w14:textId="1FD0F7DC" w:rsidR="004A13A7" w:rsidRPr="00DE7566" w:rsidRDefault="00AA7E93" w:rsidP="00C52D17">
      <w:pPr>
        <w:pStyle w:val="Heading2"/>
        <w:keepNext w:val="0"/>
        <w:numPr>
          <w:ilvl w:val="0"/>
          <w:numId w:val="10"/>
        </w:numPr>
        <w:spacing w:before="0" w:after="240"/>
        <w:ind w:hanging="720"/>
        <w:contextualSpacing/>
      </w:pPr>
      <w:bookmarkStart w:id="9" w:name="_Toc26530627"/>
      <w:r>
        <w:t xml:space="preserve">Narrowband </w:t>
      </w:r>
      <w:r w:rsidR="00411A85">
        <w:t>s</w:t>
      </w:r>
      <w:r>
        <w:t>ervices</w:t>
      </w:r>
      <w:bookmarkEnd w:id="9"/>
    </w:p>
    <w:p w14:paraId="7B7CA700" w14:textId="77777777" w:rsidR="00AA7E93" w:rsidRPr="00AA7E93" w:rsidRDefault="00AA7E93" w:rsidP="00AA7E93">
      <w:pPr>
        <w:ind w:right="-23"/>
        <w:rPr>
          <w:sz w:val="20"/>
        </w:rPr>
      </w:pPr>
      <w:bookmarkStart w:id="10" w:name="_Toc8983852"/>
      <w:bookmarkStart w:id="11" w:name="_Toc8986376"/>
      <w:r>
        <w:t xml:space="preserve">The </w:t>
      </w:r>
      <w:r w:rsidRPr="00C42A28">
        <w:rPr>
          <w:i/>
          <w:iCs/>
        </w:rPr>
        <w:t>400 MHz Plan</w:t>
      </w:r>
      <w:r>
        <w:t xml:space="preserve"> provides for the operation of narrowband land mobile services (single/two frequency with 6.25/12.5/25 kHz channelling and two frequency trunked with 6.25/12.5/25 kHz channelling) and fixed services (single frequency with 12.5/25/50 kHz channelling, two frequency point-to-point with 12.5/25/50 kHz channelling and two frequency point-to-multipoint with 12.5/25/50 kHz channelling).</w:t>
      </w:r>
    </w:p>
    <w:p w14:paraId="6FE3F3A3" w14:textId="6C70738F" w:rsidR="00AA7E93" w:rsidRDefault="00AA7E93" w:rsidP="00AA7E93">
      <w:pPr>
        <w:ind w:right="-23"/>
      </w:pPr>
      <w:r>
        <w:t xml:space="preserve">Narrowband services are assigned in accordance with this </w:t>
      </w:r>
      <w:r w:rsidR="00411A85">
        <w:t>p</w:t>
      </w:r>
      <w:r>
        <w:t>lan.</w:t>
      </w:r>
    </w:p>
    <w:p w14:paraId="72D1F1D4" w14:textId="0659AAAE" w:rsidR="00AA7E93" w:rsidRDefault="00AA7E93" w:rsidP="00AA7E93">
      <w:pPr>
        <w:ind w:right="-23"/>
      </w:pPr>
      <w:r>
        <w:t>High power land mobile</w:t>
      </w:r>
      <w:r>
        <w:rPr>
          <w:rStyle w:val="FootnoteReference"/>
        </w:rPr>
        <w:footnoteReference w:id="1"/>
      </w:r>
      <w:r>
        <w:t xml:space="preserve"> assignments using 25 kHz channels for a single communications circuit (</w:t>
      </w:r>
      <w:r w:rsidR="00411A85">
        <w:t>for example,</w:t>
      </w:r>
      <w:r>
        <w:t xml:space="preserve"> for a single voice channel) are prohibited within high density areas (HDAs) and medium density areas (MDAs) and in the area extending 100 km out from the HDA or MDA boundary.</w:t>
      </w:r>
      <w:r>
        <w:rPr>
          <w:rStyle w:val="FootnoteReference"/>
        </w:rPr>
        <w:footnoteReference w:id="2"/>
      </w:r>
      <w:r>
        <w:t xml:space="preserve"> The use of a 25 kHz channel for a single communications circuit will be supported 100 km or more outside of HDAs and MDAs. The use of channels greater than 12.5 kHz bandwidth within 100 km of HDAs and MDAs is permitted only for systems carrying two or more circuits through a 25 kHz channel, </w:t>
      </w:r>
      <w:r w:rsidR="00411A85">
        <w:t>that is,</w:t>
      </w:r>
      <w:r>
        <w:t xml:space="preserve"> systems that achieve spectrum efficiencies equal to or better than one communications channel per 12.5 kHz, will be permitted in any area.</w:t>
      </w:r>
    </w:p>
    <w:p w14:paraId="12ADB370" w14:textId="352D74A0" w:rsidR="00AA7E93" w:rsidRDefault="00AA7E93" w:rsidP="00AA7E93">
      <w:pPr>
        <w:ind w:right="-23"/>
      </w:pPr>
      <w:r>
        <w:t>Low power land mobile</w:t>
      </w:r>
      <w:r>
        <w:rPr>
          <w:rStyle w:val="FootnoteReference"/>
        </w:rPr>
        <w:footnoteReference w:id="3"/>
      </w:r>
      <w:r>
        <w:t xml:space="preserve"> assignments using 25 kHz channels for a single communications circuit (</w:t>
      </w:r>
      <w:r w:rsidR="00411A85">
        <w:t>for example,</w:t>
      </w:r>
      <w:r>
        <w:t xml:space="preserve"> for a single voice channel) are prohibited withi</w:t>
      </w:r>
      <w:r w:rsidR="00411A85">
        <w:t xml:space="preserve">n </w:t>
      </w:r>
      <w:r>
        <w:t xml:space="preserve">HDAs and MDAs. The use of a 25 kHz channel for a single communications circuit will be supported outside of HDAs and MDAs. The use of channels greater than 12.5 kHz bandwidth within HDAs and MDAs is permitted only for systems carrying two or more circuits through a 25 kHz channel, </w:t>
      </w:r>
      <w:r w:rsidR="00411A85">
        <w:t>that is,</w:t>
      </w:r>
      <w:r>
        <w:t xml:space="preserve"> systems that achieve spectrum efficiencies equal to or better than one communications channel per 12.5 kHz, will be permitted in any area.</w:t>
      </w:r>
    </w:p>
    <w:p w14:paraId="4BCA9C22" w14:textId="4AF08820" w:rsidR="00AA7E93" w:rsidRDefault="00AA7E93" w:rsidP="00C42A28">
      <w:pPr>
        <w:ind w:right="-23"/>
      </w:pPr>
      <w:r>
        <w:t>Stations in the fixed service (point-to-multipoint) are limited to segments allocated to the fixed service (point-to-multipoint) and the top 1.5 MHz of segments NN/SS (</w:t>
      </w:r>
      <w:r w:rsidR="00411A85">
        <w:t>that is,</w:t>
      </w:r>
      <w:r>
        <w:t xml:space="preserve"> </w:t>
      </w:r>
      <w:r w:rsidRPr="00AA7E93">
        <w:rPr>
          <w:rFonts w:cs="Arial"/>
          <w:iCs/>
          <w:szCs w:val="20"/>
        </w:rPr>
        <w:t>Channels 201 to 320 of segments NN and SS)</w:t>
      </w:r>
      <w:r>
        <w:t xml:space="preserve">. Segments allocated for the land mobile service may only be used by point-to-multipoint services if they cannot be accommodated in the above-mentioned segments. Segments allocated exclusively for the land mobile service (trunked) are not to be used for the point-to-multipoint service. The criteria specified in this </w:t>
      </w:r>
      <w:r w:rsidR="00411A85">
        <w:t>p</w:t>
      </w:r>
      <w:r>
        <w:t xml:space="preserve">lan for the land mobile service apply to the use of these segments by stations in the fixed service (point-to-multipoint). When fixed service (point-to-multipoint) systems are assigned in 400 MHz land mobile </w:t>
      </w:r>
      <w:r>
        <w:lastRenderedPageBreak/>
        <w:t>segments, the assignment process shall be as prescribed in RALI LM8. The use of 25 kHz channels for the fixed service (point-to-multipoint) is supported in all density areas.</w:t>
      </w:r>
    </w:p>
    <w:p w14:paraId="170D40BB" w14:textId="77777777" w:rsidR="00AA7E93" w:rsidRDefault="00AA7E93" w:rsidP="00AA7E93">
      <w:pPr>
        <w:ind w:right="-23"/>
      </w:pPr>
      <w:r>
        <w:t>Assignments for 6.25 kHz bandwidth may be made within 12.5 kHz channels, by offsetting from the nominal 12.5 kHz channel centre by 3.125 kHz. Assignments to 6.25 kHz systems should be made adjacent to any existing 6.25 kHz assignments in the same area wherever possible.</w:t>
      </w:r>
    </w:p>
    <w:p w14:paraId="2A4951AD" w14:textId="77777777" w:rsidR="00AA7E93" w:rsidRDefault="00AA7E93" w:rsidP="00AA7E93">
      <w:pPr>
        <w:ind w:right="-23"/>
      </w:pPr>
      <w:r>
        <w:t>For the land mobile service, two 12.5 kHz channels may be aggregated if required. In HDAs and MDAs, the aggregation scheme is channels 1 and 2, 3 and 4, et cetera. In other areas this is also the preferred method, however when assignments are made to expand existing 25 kHz systems a 25 kHz assignment may be made on the channel raster used for the existing system.</w:t>
      </w:r>
    </w:p>
    <w:p w14:paraId="783BEF71" w14:textId="77777777" w:rsidR="00AA7E93" w:rsidRDefault="00AA7E93" w:rsidP="00AA7E93">
      <w:pPr>
        <w:ind w:right="-23"/>
      </w:pPr>
      <w:r>
        <w:t>Segments E and M are allocated exclusively to the land mobile service (trunked). Land mobile trunking systems may also be assigned in all other segments allocated to the land mobile service. The principles detailed in RALI LM3 still apply.</w:t>
      </w:r>
    </w:p>
    <w:p w14:paraId="5B45E823" w14:textId="08A311D0" w:rsidR="00AA7E93" w:rsidRDefault="00AA7E93" w:rsidP="00AA7E93">
      <w:pPr>
        <w:ind w:right="-23"/>
      </w:pPr>
      <w:r>
        <w:t xml:space="preserve">Where the land mobile service allocation permits single frequency operation, the allocation is intended primarily to support single frequency low power applications. Assignments may be made to single frequency high power land mobile applications in low density and remote density areas on sites where the proposed licensee is the only licensee holding assignments in the 400 MHz band, </w:t>
      </w:r>
      <w:r w:rsidR="00411A85">
        <w:t xml:space="preserve">that is, </w:t>
      </w:r>
      <w:r>
        <w:t xml:space="preserve">use of high power single frequency applications is not generally permitted on communal sites where more than one licensee holds assignments in the 400 MHz band. </w:t>
      </w:r>
    </w:p>
    <w:p w14:paraId="02ABA882" w14:textId="5987F7F7" w:rsidR="00AA7E93" w:rsidRDefault="00AA7E93" w:rsidP="00AA7E93">
      <w:pPr>
        <w:ind w:right="-23"/>
      </w:pPr>
      <w:r>
        <w:t xml:space="preserve">Table 4 of Appendix </w:t>
      </w:r>
      <w:r w:rsidR="00411A85">
        <w:t>A</w:t>
      </w:r>
      <w:r>
        <w:t xml:space="preserve"> lists the channels that shall be used for single frequency area wide operation. Table 5 of Appendix </w:t>
      </w:r>
      <w:r w:rsidR="00411A85">
        <w:t>A</w:t>
      </w:r>
      <w:r>
        <w:t xml:space="preserve"> lists the channels that shall be used for two frequency area wide operation. Channels are nominally 12.5 kHz wide but may be aggregated to form 25 kHz channels as per the tables. Channels within segments used for government purposes may also be used for area wide services.</w:t>
      </w:r>
    </w:p>
    <w:p w14:paraId="658D2AD1" w14:textId="402DDAA7" w:rsidR="00AA7E93" w:rsidRDefault="00AA7E93" w:rsidP="00AA7E93">
      <w:pPr>
        <w:ind w:right="-23"/>
      </w:pPr>
      <w:r>
        <w:t xml:space="preserve">New assignments not meeting the planning arrangements in this </w:t>
      </w:r>
      <w:r w:rsidR="00411A85">
        <w:t>p</w:t>
      </w:r>
      <w:r>
        <w:t xml:space="preserve">lan but required to extend existing services may continue to be made in areas outside of high and medium density areas. In high and medium density areas, non-compliant assignments may be allowed for reasons of interoperability on a case-by-case basis, assessed by the Manager, Spectrum </w:t>
      </w:r>
      <w:r w:rsidR="00064CAA">
        <w:t>Planning</w:t>
      </w:r>
      <w:r>
        <w:t xml:space="preserve"> Section. Short term use pending migration to compliant systems is considered reasonable justification for such assignments.</w:t>
      </w:r>
    </w:p>
    <w:p w14:paraId="5607A07D" w14:textId="69BA7E49" w:rsidR="00AA7E93" w:rsidRDefault="00AA7E93" w:rsidP="00AA7E93">
      <w:pPr>
        <w:ind w:right="-23"/>
      </w:pPr>
      <w:r>
        <w:t>Two frequencies have been identified for small area model use (enclosed and short-range digital systems). These are 469.9875 MHz and 471.2125 MHz. RALI LM8 defines these systems and their assignment rules.</w:t>
      </w:r>
    </w:p>
    <w:p w14:paraId="328BA856" w14:textId="48287025" w:rsidR="009C1E9F" w:rsidRDefault="009C1E9F" w:rsidP="00AA7E93">
      <w:pPr>
        <w:ind w:right="-23"/>
      </w:pPr>
      <w:r>
        <w:t>Transition arrangements that applied to the band after a comprehensive review in 2010 are detailed in Appendix B.</w:t>
      </w:r>
    </w:p>
    <w:p w14:paraId="4847F42D" w14:textId="4D8662A3" w:rsidR="004A13A7" w:rsidRDefault="00AA7E93" w:rsidP="00C52D17">
      <w:pPr>
        <w:pStyle w:val="Heading2"/>
        <w:keepNext w:val="0"/>
        <w:numPr>
          <w:ilvl w:val="0"/>
          <w:numId w:val="10"/>
        </w:numPr>
        <w:spacing w:before="0" w:after="240"/>
        <w:ind w:hanging="720"/>
        <w:contextualSpacing/>
      </w:pPr>
      <w:bookmarkStart w:id="12" w:name="_Toc26530628"/>
      <w:bookmarkEnd w:id="10"/>
      <w:bookmarkEnd w:id="11"/>
      <w:r>
        <w:t xml:space="preserve">Wideband </w:t>
      </w:r>
      <w:r w:rsidR="00411A85">
        <w:t>r</w:t>
      </w:r>
      <w:r>
        <w:t xml:space="preserve">ural </w:t>
      </w:r>
      <w:r w:rsidR="00411A85">
        <w:t>s</w:t>
      </w:r>
      <w:r>
        <w:t>ervices</w:t>
      </w:r>
      <w:bookmarkEnd w:id="12"/>
    </w:p>
    <w:p w14:paraId="7D4F7771" w14:textId="77777777" w:rsidR="00AA7E93" w:rsidRPr="00AA7E93" w:rsidRDefault="00AA7E93" w:rsidP="00AA7E93">
      <w:pPr>
        <w:ind w:right="-23"/>
        <w:rPr>
          <w:sz w:val="20"/>
        </w:rPr>
      </w:pPr>
      <w:r>
        <w:t xml:space="preserve">The </w:t>
      </w:r>
      <w:r w:rsidRPr="00C42A28">
        <w:rPr>
          <w:i/>
          <w:iCs/>
        </w:rPr>
        <w:t>400 MHz Plan</w:t>
      </w:r>
      <w:r>
        <w:t xml:space="preserve"> provides for the operation, in rural parts of Australia, of the wideband fixed (point to point) service with emission bandwidths between 150 and 750 kHz in parts of the 403</w:t>
      </w:r>
      <w:r w:rsidRPr="00AA7E93">
        <w:rPr>
          <w:rFonts w:cs="Arial"/>
        </w:rPr>
        <w:t>–</w:t>
      </w:r>
      <w:r>
        <w:t>420 MHz band, and the wideband (point-to-multipoint) service with a nominal emission bandwidth of 1.82 MHz in parts of the 501</w:t>
      </w:r>
      <w:r w:rsidRPr="00AA7E93">
        <w:rPr>
          <w:rFonts w:cs="Arial"/>
        </w:rPr>
        <w:t>–</w:t>
      </w:r>
      <w:r>
        <w:t>520 MHz band.</w:t>
      </w:r>
    </w:p>
    <w:p w14:paraId="3A659754" w14:textId="394BB56C" w:rsidR="00AA7E93" w:rsidRDefault="00AA7E93" w:rsidP="00AA7E93">
      <w:pPr>
        <w:ind w:right="-23"/>
      </w:pPr>
      <w:r>
        <w:t xml:space="preserve">Wideband fixed services should be assigned in accordance with the channelling arrangements in this </w:t>
      </w:r>
      <w:r w:rsidR="00411A85">
        <w:t>p</w:t>
      </w:r>
      <w:r>
        <w:t>lan.</w:t>
      </w:r>
    </w:p>
    <w:p w14:paraId="70EF6E4A" w14:textId="77777777" w:rsidR="002D34CD" w:rsidRDefault="002D34CD" w:rsidP="00AF06C8">
      <w:pPr>
        <w:rPr>
          <w:szCs w:val="22"/>
        </w:rPr>
      </w:pPr>
    </w:p>
    <w:p w14:paraId="29825067" w14:textId="77777777" w:rsidR="004A13A7" w:rsidRPr="000B27C0" w:rsidRDefault="004A13A7" w:rsidP="000B27C0">
      <w:pPr>
        <w:pStyle w:val="Heading1"/>
      </w:pPr>
      <w:bookmarkStart w:id="13" w:name="_Toc513476332"/>
      <w:bookmarkStart w:id="14" w:name="_Toc8983859"/>
      <w:bookmarkStart w:id="15" w:name="_Toc8986383"/>
      <w:bookmarkStart w:id="16" w:name="_Toc26530629"/>
      <w:r w:rsidRPr="000B27C0">
        <w:lastRenderedPageBreak/>
        <w:t>Exceptions</w:t>
      </w:r>
      <w:bookmarkEnd w:id="13"/>
      <w:bookmarkEnd w:id="14"/>
      <w:bookmarkEnd w:id="15"/>
      <w:bookmarkEnd w:id="16"/>
    </w:p>
    <w:p w14:paraId="075350CB" w14:textId="77777777" w:rsidR="004A13A7" w:rsidRPr="00AF06C8" w:rsidRDefault="004A13A7" w:rsidP="004A13A7">
      <w:pPr>
        <w:rPr>
          <w:rFonts w:cstheme="minorBidi"/>
          <w:szCs w:val="22"/>
        </w:rPr>
      </w:pPr>
      <w:r w:rsidRPr="00AF06C8">
        <w:rPr>
          <w:szCs w:val="22"/>
        </w:rPr>
        <w:t xml:space="preserve">Exceptions to the requirements of this RALI for prospective assignments require case-by-case consideration by the Manager, Spectrum </w:t>
      </w:r>
      <w:r w:rsidR="00A1481A">
        <w:rPr>
          <w:szCs w:val="22"/>
        </w:rPr>
        <w:t>Planning Section</w:t>
      </w:r>
      <w:r w:rsidRPr="00AF06C8">
        <w:rPr>
          <w:szCs w:val="22"/>
        </w:rPr>
        <w:t>.</w:t>
      </w:r>
    </w:p>
    <w:p w14:paraId="224F3944" w14:textId="77777777" w:rsidR="004A13A7" w:rsidRPr="00AF06C8" w:rsidRDefault="004A13A7" w:rsidP="004A13A7">
      <w:pPr>
        <w:rPr>
          <w:szCs w:val="22"/>
        </w:rPr>
      </w:pPr>
      <w:r w:rsidRPr="00AF06C8">
        <w:rPr>
          <w:szCs w:val="22"/>
        </w:rPr>
        <w:t>A request for exemption from the requirements of this RALI would need to be accompanied by evidence to support the request.</w:t>
      </w:r>
    </w:p>
    <w:p w14:paraId="54549E0C" w14:textId="77777777" w:rsidR="000B27C0" w:rsidRPr="000B27C0" w:rsidRDefault="004A13A7" w:rsidP="000B27C0">
      <w:pPr>
        <w:rPr>
          <w:rFonts w:cs="Arial"/>
          <w:szCs w:val="22"/>
        </w:rPr>
      </w:pPr>
      <w:r w:rsidRPr="00AF06C8">
        <w:rPr>
          <w:rFonts w:cs="Arial"/>
          <w:szCs w:val="22"/>
        </w:rPr>
        <w:t xml:space="preserve">All requests for exemptions should be submitted to </w:t>
      </w:r>
      <w:hyperlink r:id="rId13" w:history="1">
        <w:r w:rsidR="00746A68" w:rsidRPr="00AD1617">
          <w:rPr>
            <w:rStyle w:val="Hyperlink"/>
            <w:rFonts w:cs="Arial"/>
            <w:szCs w:val="22"/>
          </w:rPr>
          <w:t>freqplan@acma.gov.au</w:t>
        </w:r>
      </w:hyperlink>
      <w:r w:rsidR="00746A68">
        <w:rPr>
          <w:rFonts w:cs="Arial"/>
          <w:szCs w:val="22"/>
        </w:rPr>
        <w:t xml:space="preserve">. </w:t>
      </w:r>
    </w:p>
    <w:p w14:paraId="4D4022FA" w14:textId="287BB698" w:rsidR="004A13A7" w:rsidRPr="008C3D36" w:rsidRDefault="004A13A7" w:rsidP="00923D7A">
      <w:pPr>
        <w:pStyle w:val="Heading1"/>
      </w:pPr>
      <w:bookmarkStart w:id="17" w:name="_Toc8983860"/>
      <w:bookmarkStart w:id="18" w:name="_Toc8986384"/>
      <w:bookmarkStart w:id="19" w:name="_Toc26530630"/>
      <w:r w:rsidRPr="008C3D36">
        <w:lastRenderedPageBreak/>
        <w:t xml:space="preserve">RALI </w:t>
      </w:r>
      <w:r w:rsidR="00411A85">
        <w:t>a</w:t>
      </w:r>
      <w:r w:rsidRPr="008C3D36">
        <w:t>uthorisation</w:t>
      </w:r>
      <w:bookmarkEnd w:id="17"/>
      <w:bookmarkEnd w:id="18"/>
      <w:bookmarkEnd w:id="19"/>
    </w:p>
    <w:p w14:paraId="308AAAE3" w14:textId="451A5365" w:rsidR="004A13A7" w:rsidRPr="00AF06C8" w:rsidRDefault="00AA7E93" w:rsidP="004A13A7">
      <w:pPr>
        <w:rPr>
          <w:szCs w:val="22"/>
        </w:rPr>
      </w:pPr>
      <w:r>
        <w:rPr>
          <w:szCs w:val="22"/>
        </w:rPr>
        <w:t>Approved</w:t>
      </w:r>
      <w:r w:rsidR="004A13A7" w:rsidRPr="00AF06C8">
        <w:rPr>
          <w:szCs w:val="22"/>
        </w:rPr>
        <w:t xml:space="preserve">     </w:t>
      </w:r>
      <w:r w:rsidR="004A13A7" w:rsidRPr="00AF06C8">
        <w:rPr>
          <w:szCs w:val="22"/>
        </w:rPr>
        <w:tab/>
      </w:r>
      <w:r w:rsidR="002B0EBC">
        <w:rPr>
          <w:szCs w:val="22"/>
        </w:rPr>
        <w:t>17</w:t>
      </w:r>
      <w:r w:rsidR="004A13A7" w:rsidRPr="00AF06C8">
        <w:rPr>
          <w:szCs w:val="22"/>
        </w:rPr>
        <w:t>/</w:t>
      </w:r>
      <w:r w:rsidR="002B0EBC">
        <w:rPr>
          <w:szCs w:val="22"/>
        </w:rPr>
        <w:t>01</w:t>
      </w:r>
      <w:r w:rsidR="004A13A7" w:rsidRPr="00AF06C8">
        <w:rPr>
          <w:szCs w:val="22"/>
        </w:rPr>
        <w:t>/20</w:t>
      </w:r>
      <w:r w:rsidR="002B0EBC">
        <w:rPr>
          <w:szCs w:val="22"/>
        </w:rPr>
        <w:t>20</w:t>
      </w:r>
    </w:p>
    <w:p w14:paraId="52CA86AD" w14:textId="2D748ACA" w:rsidR="004A13A7" w:rsidRPr="00AF06C8" w:rsidRDefault="004A13A7" w:rsidP="004A13A7">
      <w:pPr>
        <w:rPr>
          <w:szCs w:val="22"/>
        </w:rPr>
      </w:pPr>
      <w:r w:rsidRPr="00AF06C8">
        <w:rPr>
          <w:szCs w:val="22"/>
        </w:rPr>
        <w:br/>
        <w:t>Manager</w:t>
      </w:r>
      <w:r w:rsidRPr="00AF06C8">
        <w:rPr>
          <w:szCs w:val="22"/>
        </w:rPr>
        <w:br/>
        <w:t xml:space="preserve">Spectrum </w:t>
      </w:r>
      <w:r w:rsidR="00746A68">
        <w:rPr>
          <w:szCs w:val="22"/>
        </w:rPr>
        <w:t>Planning Section</w:t>
      </w:r>
      <w:r w:rsidRPr="00AF06C8">
        <w:rPr>
          <w:szCs w:val="22"/>
        </w:rPr>
        <w:br/>
        <w:t>Spectrum Planning and Engineering Branch</w:t>
      </w:r>
    </w:p>
    <w:p w14:paraId="3E9D8E3D" w14:textId="77777777" w:rsidR="004A13A7" w:rsidRPr="00AF06C8" w:rsidRDefault="004A13A7" w:rsidP="004A13A7">
      <w:pPr>
        <w:rPr>
          <w:szCs w:val="22"/>
        </w:rPr>
      </w:pPr>
      <w:r w:rsidRPr="00AF06C8">
        <w:rPr>
          <w:szCs w:val="22"/>
        </w:rPr>
        <w:t>Communications Infrastructure Division</w:t>
      </w:r>
      <w:r w:rsidRPr="00AF06C8">
        <w:rPr>
          <w:szCs w:val="22"/>
        </w:rPr>
        <w:br/>
        <w:t>Australian Communications and Media Authority</w:t>
      </w:r>
    </w:p>
    <w:p w14:paraId="3D668982" w14:textId="7D912290" w:rsidR="004A13A7" w:rsidRPr="00AF06C8" w:rsidRDefault="004A13A7" w:rsidP="00420CAF">
      <w:pPr>
        <w:pStyle w:val="Heading1"/>
        <w:numPr>
          <w:ilvl w:val="0"/>
          <w:numId w:val="0"/>
        </w:numPr>
        <w:rPr>
          <w:szCs w:val="44"/>
        </w:rPr>
      </w:pPr>
      <w:bookmarkStart w:id="20" w:name="_Toc8983861"/>
      <w:bookmarkStart w:id="21" w:name="_Toc8986385"/>
      <w:bookmarkStart w:id="22" w:name="_Toc26530631"/>
      <w:r w:rsidRPr="00AF06C8">
        <w:rPr>
          <w:szCs w:val="44"/>
        </w:rPr>
        <w:lastRenderedPageBreak/>
        <w:t xml:space="preserve">Appendix A: </w:t>
      </w:r>
      <w:bookmarkEnd w:id="20"/>
      <w:bookmarkEnd w:id="21"/>
      <w:r w:rsidR="00116C56">
        <w:t>Allocation and channelling arrangements</w:t>
      </w:r>
      <w:bookmarkEnd w:id="22"/>
    </w:p>
    <w:p w14:paraId="39551CAA" w14:textId="77777777" w:rsidR="00AA7E93" w:rsidRDefault="00AA7E93" w:rsidP="00AA7E93">
      <w:pPr>
        <w:ind w:right="-23"/>
        <w:rPr>
          <w:sz w:val="20"/>
        </w:rPr>
      </w:pPr>
      <w:r>
        <w:rPr>
          <w:b/>
        </w:rPr>
        <w:t>Table 1:</w:t>
      </w:r>
      <w:r>
        <w:t xml:space="preserve"> Service allocations and channelling arrangements for narrowband services in the bands 403</w:t>
      </w:r>
      <w:r>
        <w:rPr>
          <w:rFonts w:cs="Arial"/>
        </w:rPr>
        <w:t>–</w:t>
      </w:r>
      <w:r>
        <w:t>430 MHz and 450</w:t>
      </w:r>
      <w:r>
        <w:rPr>
          <w:rFonts w:cs="Arial"/>
        </w:rPr>
        <w:t>–</w:t>
      </w:r>
      <w:r>
        <w:t>520 MHz</w:t>
      </w:r>
    </w:p>
    <w:p w14:paraId="624BEB82" w14:textId="77777777" w:rsidR="00AA7E93" w:rsidRDefault="00AA7E93" w:rsidP="00AA7E93">
      <w:pPr>
        <w:ind w:right="-23"/>
      </w:pPr>
      <w:r>
        <w:rPr>
          <w:b/>
        </w:rPr>
        <w:t>Figure 1:</w:t>
      </w:r>
      <w:r>
        <w:t xml:space="preserve"> 400 MHz narrowband services diagram</w:t>
      </w:r>
    </w:p>
    <w:p w14:paraId="52FF50E8" w14:textId="77777777" w:rsidR="00AA7E93" w:rsidRDefault="00AA7E93" w:rsidP="00AA7E93">
      <w:pPr>
        <w:ind w:right="-23"/>
      </w:pPr>
      <w:r>
        <w:rPr>
          <w:b/>
        </w:rPr>
        <w:t>Table 2:</w:t>
      </w:r>
      <w:r>
        <w:t xml:space="preserve"> Channelling arrangements for the 400 MHz wideband fixed point-to-point services</w:t>
      </w:r>
    </w:p>
    <w:p w14:paraId="64DC127E" w14:textId="77777777" w:rsidR="00AA7E93" w:rsidRDefault="00AA7E93" w:rsidP="00AA7E93">
      <w:pPr>
        <w:ind w:right="-23"/>
      </w:pPr>
      <w:r>
        <w:rPr>
          <w:b/>
        </w:rPr>
        <w:t>Figure 2:</w:t>
      </w:r>
      <w:r>
        <w:t xml:space="preserve"> 400 MHz wideband fixed point-to-point service diagram</w:t>
      </w:r>
    </w:p>
    <w:p w14:paraId="46FF617D" w14:textId="77777777" w:rsidR="00AA7E93" w:rsidRDefault="00AA7E93" w:rsidP="00AA7E93">
      <w:pPr>
        <w:ind w:right="-23"/>
      </w:pPr>
      <w:r>
        <w:rPr>
          <w:b/>
        </w:rPr>
        <w:t>Table 3:</w:t>
      </w:r>
      <w:r>
        <w:t xml:space="preserve"> Channelling arrangements for the 400 MHz wideband fixed point-to-multipoint service</w:t>
      </w:r>
    </w:p>
    <w:p w14:paraId="4B63AEBA" w14:textId="77777777" w:rsidR="00AA7E93" w:rsidRDefault="00AA7E93" w:rsidP="00AA7E93">
      <w:pPr>
        <w:ind w:right="-23"/>
      </w:pPr>
      <w:r>
        <w:rPr>
          <w:b/>
        </w:rPr>
        <w:t>Figure 3:</w:t>
      </w:r>
      <w:r>
        <w:t xml:space="preserve"> 400 MHz wideband fixed point-multipoint service diagram</w:t>
      </w:r>
    </w:p>
    <w:p w14:paraId="1F92FB42" w14:textId="77777777" w:rsidR="00AA7E93" w:rsidRDefault="00AA7E93" w:rsidP="00AA7E93">
      <w:pPr>
        <w:ind w:right="-23"/>
      </w:pPr>
      <w:r>
        <w:rPr>
          <w:b/>
        </w:rPr>
        <w:t>Table 4:</w:t>
      </w:r>
      <w:r>
        <w:t xml:space="preserve"> Channels for single frequency area wide assignments</w:t>
      </w:r>
    </w:p>
    <w:p w14:paraId="64BDD49D" w14:textId="77777777" w:rsidR="00AA7E93" w:rsidRDefault="00AA7E93" w:rsidP="00AA7E93">
      <w:pPr>
        <w:pStyle w:val="ListNumber2"/>
        <w:numPr>
          <w:ilvl w:val="0"/>
          <w:numId w:val="0"/>
        </w:numPr>
        <w:ind w:right="-23"/>
        <w:rPr>
          <w:rFonts w:cs="Arial"/>
        </w:rPr>
      </w:pPr>
    </w:p>
    <w:p w14:paraId="6192695E" w14:textId="77777777" w:rsidR="00AA7E93" w:rsidRDefault="00AA7E93" w:rsidP="00AA7E93">
      <w:pPr>
        <w:spacing w:line="240" w:lineRule="auto"/>
        <w:rPr>
          <w:rFonts w:cs="Arial"/>
          <w:b/>
          <w:bCs/>
          <w:color w:val="808285"/>
          <w:szCs w:val="20"/>
        </w:rPr>
        <w:sectPr w:rsidR="00AA7E93" w:rsidSect="00A9764C">
          <w:type w:val="oddPage"/>
          <w:pgSz w:w="11906" w:h="16838"/>
          <w:pgMar w:top="1440" w:right="1133" w:bottom="1440" w:left="1440" w:header="709" w:footer="119" w:gutter="0"/>
          <w:pgNumType w:start="1"/>
          <w:cols w:space="720"/>
        </w:sectPr>
      </w:pPr>
    </w:p>
    <w:tbl>
      <w:tblPr>
        <w:tblW w:w="14175" w:type="dxa"/>
        <w:tblLayout w:type="fixed"/>
        <w:tblCellMar>
          <w:left w:w="0" w:type="dxa"/>
          <w:right w:w="0" w:type="dxa"/>
        </w:tblCellMar>
        <w:tblLook w:val="01E0" w:firstRow="1" w:lastRow="1" w:firstColumn="1" w:lastColumn="1" w:noHBand="0" w:noVBand="0"/>
      </w:tblPr>
      <w:tblGrid>
        <w:gridCol w:w="14175"/>
      </w:tblGrid>
      <w:tr w:rsidR="00AA7E93" w14:paraId="01DFF231" w14:textId="77777777" w:rsidTr="00C42A28">
        <w:trPr>
          <w:trHeight w:val="570"/>
        </w:trPr>
        <w:tc>
          <w:tcPr>
            <w:tcW w:w="14175" w:type="dxa"/>
            <w:vAlign w:val="center"/>
            <w:hideMark/>
          </w:tcPr>
          <w:p w14:paraId="48E12F49" w14:textId="2F876C0D" w:rsidR="00AA7E93" w:rsidRDefault="00AA7E93">
            <w:pPr>
              <w:pStyle w:val="Caption"/>
              <w:ind w:right="-23"/>
              <w:rPr>
                <w:rFonts w:cs="Arial"/>
                <w:lang w:eastAsia="en-US"/>
              </w:rPr>
            </w:pPr>
            <w:r>
              <w:rPr>
                <w:rFonts w:cs="Arial"/>
                <w:lang w:eastAsia="en-US"/>
              </w:rPr>
              <w:lastRenderedPageBreak/>
              <w:t xml:space="preserve">Service allocations and channelling arrangements for narrowband services in the bands 403–430 MHz and 450–520 MHz, </w:t>
            </w:r>
            <w:r w:rsidR="009B17F4">
              <w:rPr>
                <w:rFonts w:cs="Arial"/>
                <w:lang w:eastAsia="en-US"/>
              </w:rPr>
              <w:t>January</w:t>
            </w:r>
            <w:r>
              <w:rPr>
                <w:rFonts w:cs="Arial"/>
                <w:lang w:eastAsia="en-US"/>
              </w:rPr>
              <w:t xml:space="preserve"> 20</w:t>
            </w:r>
            <w:r w:rsidR="009B17F4">
              <w:rPr>
                <w:rFonts w:cs="Arial"/>
                <w:lang w:eastAsia="en-US"/>
              </w:rPr>
              <w:t>20</w:t>
            </w:r>
          </w:p>
        </w:tc>
      </w:tr>
      <w:tr w:rsidR="00AA7E93" w14:paraId="3F16E7A1" w14:textId="77777777" w:rsidTr="00AA7E93">
        <w:trPr>
          <w:trHeight w:val="851"/>
        </w:trPr>
        <w:tc>
          <w:tcPr>
            <w:tcW w:w="14175" w:type="dxa"/>
            <w:tcMar>
              <w:top w:w="0" w:type="dxa"/>
              <w:left w:w="28" w:type="dxa"/>
              <w:bottom w:w="0" w:type="dxa"/>
              <w:right w:w="0" w:type="dxa"/>
            </w:tcMar>
            <w:hideMark/>
          </w:tcPr>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101"/>
              <w:gridCol w:w="3120"/>
              <w:gridCol w:w="1418"/>
              <w:gridCol w:w="1134"/>
              <w:gridCol w:w="1187"/>
              <w:gridCol w:w="2268"/>
              <w:gridCol w:w="1531"/>
              <w:gridCol w:w="1701"/>
            </w:tblGrid>
            <w:tr w:rsidR="00AA7E93" w14:paraId="47D99512" w14:textId="77777777">
              <w:trPr>
                <w:cantSplit/>
                <w:trHeight w:val="580"/>
                <w:tblHeader/>
                <w:jc w:val="center"/>
              </w:trPr>
              <w:tc>
                <w:tcPr>
                  <w:tcW w:w="1101" w:type="dxa"/>
                  <w:tcBorders>
                    <w:top w:val="single" w:sz="12" w:space="0" w:color="auto"/>
                    <w:left w:val="single" w:sz="12" w:space="0" w:color="auto"/>
                    <w:bottom w:val="single" w:sz="12" w:space="0" w:color="auto"/>
                    <w:right w:val="single" w:sz="6" w:space="0" w:color="auto"/>
                  </w:tcBorders>
                  <w:hideMark/>
                </w:tcPr>
                <w:p w14:paraId="075B0025" w14:textId="77777777" w:rsidR="00AA7E93" w:rsidRDefault="00AA7E93">
                  <w:pPr>
                    <w:widowControl w:val="0"/>
                    <w:spacing w:before="40" w:after="120" w:line="240" w:lineRule="auto"/>
                    <w:ind w:right="-23"/>
                    <w:jc w:val="center"/>
                    <w:rPr>
                      <w:rFonts w:cs="Arial"/>
                      <w:szCs w:val="20"/>
                      <w:lang w:val="en-GB" w:eastAsia="en-US"/>
                    </w:rPr>
                  </w:pPr>
                  <w:bookmarkStart w:id="23" w:name="_Hlk269738902"/>
                  <w:r>
                    <w:rPr>
                      <w:rFonts w:cs="Arial"/>
                      <w:szCs w:val="20"/>
                      <w:lang w:val="en-GB" w:eastAsia="en-US"/>
                    </w:rPr>
                    <w:t>Segment</w:t>
                  </w:r>
                </w:p>
              </w:tc>
              <w:tc>
                <w:tcPr>
                  <w:tcW w:w="3120" w:type="dxa"/>
                  <w:tcBorders>
                    <w:top w:val="single" w:sz="12" w:space="0" w:color="auto"/>
                    <w:left w:val="single" w:sz="6" w:space="0" w:color="auto"/>
                    <w:bottom w:val="single" w:sz="12" w:space="0" w:color="auto"/>
                    <w:right w:val="single" w:sz="6" w:space="0" w:color="auto"/>
                  </w:tcBorders>
                  <w:hideMark/>
                </w:tcPr>
                <w:p w14:paraId="492143B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Service allocation</w:t>
                  </w:r>
                </w:p>
              </w:tc>
              <w:tc>
                <w:tcPr>
                  <w:tcW w:w="1418" w:type="dxa"/>
                  <w:tcBorders>
                    <w:top w:val="single" w:sz="12" w:space="0" w:color="auto"/>
                    <w:left w:val="single" w:sz="6" w:space="0" w:color="auto"/>
                    <w:bottom w:val="single" w:sz="12" w:space="0" w:color="auto"/>
                    <w:right w:val="single" w:sz="6" w:space="0" w:color="auto"/>
                  </w:tcBorders>
                  <w:hideMark/>
                </w:tcPr>
                <w:p w14:paraId="1C2F9DC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Segment frequency limits (MHz)</w:t>
                  </w:r>
                </w:p>
              </w:tc>
              <w:tc>
                <w:tcPr>
                  <w:tcW w:w="1134" w:type="dxa"/>
                  <w:tcBorders>
                    <w:top w:val="single" w:sz="12" w:space="0" w:color="auto"/>
                    <w:left w:val="single" w:sz="6" w:space="0" w:color="auto"/>
                    <w:bottom w:val="single" w:sz="12" w:space="0" w:color="auto"/>
                    <w:right w:val="single" w:sz="6" w:space="0" w:color="auto"/>
                  </w:tcBorders>
                  <w:hideMark/>
                </w:tcPr>
                <w:p w14:paraId="69C407A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Paired segment</w:t>
                  </w:r>
                </w:p>
              </w:tc>
              <w:tc>
                <w:tcPr>
                  <w:tcW w:w="1187" w:type="dxa"/>
                  <w:tcBorders>
                    <w:top w:val="single" w:sz="12" w:space="0" w:color="auto"/>
                    <w:left w:val="single" w:sz="6" w:space="0" w:color="auto"/>
                    <w:bottom w:val="single" w:sz="12" w:space="0" w:color="auto"/>
                    <w:right w:val="single" w:sz="6" w:space="0" w:color="auto"/>
                  </w:tcBorders>
                  <w:hideMark/>
                </w:tcPr>
                <w:p w14:paraId="2067366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Channel bandwidth (kHz)</w:t>
                  </w:r>
                </w:p>
              </w:tc>
              <w:tc>
                <w:tcPr>
                  <w:tcW w:w="2268" w:type="dxa"/>
                  <w:tcBorders>
                    <w:top w:val="single" w:sz="12" w:space="0" w:color="auto"/>
                    <w:left w:val="single" w:sz="6" w:space="0" w:color="auto"/>
                    <w:bottom w:val="single" w:sz="12" w:space="0" w:color="auto"/>
                    <w:right w:val="single" w:sz="6" w:space="0" w:color="auto"/>
                  </w:tcBorders>
                  <w:hideMark/>
                </w:tcPr>
                <w:p w14:paraId="329F4DA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Channel centre frequency formula</w:t>
                  </w:r>
                </w:p>
              </w:tc>
              <w:tc>
                <w:tcPr>
                  <w:tcW w:w="1531" w:type="dxa"/>
                  <w:tcBorders>
                    <w:top w:val="single" w:sz="12" w:space="0" w:color="auto"/>
                    <w:left w:val="single" w:sz="6" w:space="0" w:color="auto"/>
                    <w:bottom w:val="single" w:sz="12" w:space="0" w:color="auto"/>
                    <w:right w:val="single" w:sz="6" w:space="0" w:color="auto"/>
                  </w:tcBorders>
                  <w:hideMark/>
                </w:tcPr>
                <w:p w14:paraId="24740FD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Range of integer values for variable ‘n’</w:t>
                  </w:r>
                </w:p>
              </w:tc>
              <w:tc>
                <w:tcPr>
                  <w:tcW w:w="1701" w:type="dxa"/>
                  <w:tcBorders>
                    <w:top w:val="single" w:sz="12" w:space="0" w:color="auto"/>
                    <w:left w:val="single" w:sz="6" w:space="0" w:color="auto"/>
                    <w:bottom w:val="single" w:sz="12" w:space="0" w:color="auto"/>
                    <w:right w:val="single" w:sz="12" w:space="0" w:color="auto"/>
                  </w:tcBorders>
                  <w:hideMark/>
                </w:tcPr>
                <w:p w14:paraId="13914A3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First channel/last channel centre frequency</w:t>
                  </w:r>
                </w:p>
              </w:tc>
            </w:tr>
            <w:tr w:rsidR="00AA7E93" w14:paraId="3B6E38DC" w14:textId="77777777">
              <w:trPr>
                <w:cantSplit/>
                <w:trHeight w:val="580"/>
                <w:jc w:val="center"/>
              </w:trPr>
              <w:tc>
                <w:tcPr>
                  <w:tcW w:w="1101" w:type="dxa"/>
                  <w:tcBorders>
                    <w:top w:val="nil"/>
                    <w:left w:val="single" w:sz="12" w:space="0" w:color="auto"/>
                    <w:bottom w:val="single" w:sz="6" w:space="0" w:color="auto"/>
                    <w:right w:val="single" w:sz="6" w:space="0" w:color="auto"/>
                  </w:tcBorders>
                  <w:hideMark/>
                </w:tcPr>
                <w:p w14:paraId="0138B30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A</w:t>
                  </w:r>
                </w:p>
              </w:tc>
              <w:tc>
                <w:tcPr>
                  <w:tcW w:w="3120" w:type="dxa"/>
                  <w:tcBorders>
                    <w:top w:val="nil"/>
                    <w:left w:val="single" w:sz="6" w:space="0" w:color="auto"/>
                    <w:bottom w:val="single" w:sz="6" w:space="0" w:color="auto"/>
                    <w:right w:val="single" w:sz="6" w:space="0" w:color="auto"/>
                  </w:tcBorders>
                  <w:hideMark/>
                </w:tcPr>
                <w:p w14:paraId="7737CA3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 xml:space="preserve">(two frequency, base receive) </w:t>
                  </w:r>
                  <w:r>
                    <w:rPr>
                      <w:rFonts w:cs="Arial"/>
                      <w:szCs w:val="20"/>
                      <w:lang w:val="en-GB" w:eastAsia="en-US"/>
                    </w:rPr>
                    <w:br/>
                  </w:r>
                  <w:bookmarkStart w:id="24" w:name="OLE_LINK7"/>
                  <w:bookmarkStart w:id="25" w:name="OLE_LINK8"/>
                  <w:r>
                    <w:rPr>
                      <w:rFonts w:cs="Arial"/>
                      <w:szCs w:val="20"/>
                      <w:lang w:val="en-GB" w:eastAsia="en-US"/>
                    </w:rPr>
                    <w:t>(see note 7)</w:t>
                  </w:r>
                  <w:bookmarkEnd w:id="24"/>
                  <w:bookmarkEnd w:id="25"/>
                </w:p>
              </w:tc>
              <w:tc>
                <w:tcPr>
                  <w:tcW w:w="1418" w:type="dxa"/>
                  <w:tcBorders>
                    <w:top w:val="nil"/>
                    <w:left w:val="single" w:sz="6" w:space="0" w:color="auto"/>
                    <w:bottom w:val="single" w:sz="6" w:space="0" w:color="auto"/>
                    <w:right w:val="single" w:sz="6" w:space="0" w:color="auto"/>
                  </w:tcBorders>
                  <w:hideMark/>
                </w:tcPr>
                <w:p w14:paraId="325550D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403.0000</w:t>
                  </w:r>
                  <w:r>
                    <w:rPr>
                      <w:rFonts w:cs="Arial"/>
                      <w:szCs w:val="20"/>
                      <w:lang w:val="en-GB" w:eastAsia="en-US"/>
                    </w:rPr>
                    <w:br/>
                    <w:t>403.98125</w:t>
                  </w:r>
                </w:p>
              </w:tc>
              <w:tc>
                <w:tcPr>
                  <w:tcW w:w="1134" w:type="dxa"/>
                  <w:tcBorders>
                    <w:top w:val="nil"/>
                    <w:left w:val="single" w:sz="6" w:space="0" w:color="auto"/>
                    <w:bottom w:val="single" w:sz="6" w:space="0" w:color="auto"/>
                    <w:right w:val="single" w:sz="6" w:space="0" w:color="auto"/>
                  </w:tcBorders>
                  <w:hideMark/>
                </w:tcPr>
                <w:p w14:paraId="0E0AF13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I</w:t>
                  </w:r>
                </w:p>
              </w:tc>
              <w:tc>
                <w:tcPr>
                  <w:tcW w:w="1187" w:type="dxa"/>
                  <w:tcBorders>
                    <w:top w:val="nil"/>
                    <w:left w:val="single" w:sz="6" w:space="0" w:color="auto"/>
                    <w:bottom w:val="single" w:sz="6" w:space="0" w:color="auto"/>
                    <w:right w:val="single" w:sz="6" w:space="0" w:color="auto"/>
                  </w:tcBorders>
                  <w:hideMark/>
                </w:tcPr>
                <w:p w14:paraId="54D5A6A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p>
              </w:tc>
              <w:tc>
                <w:tcPr>
                  <w:tcW w:w="2268" w:type="dxa"/>
                  <w:tcBorders>
                    <w:top w:val="nil"/>
                    <w:left w:val="single" w:sz="6" w:space="0" w:color="auto"/>
                    <w:bottom w:val="single" w:sz="6" w:space="0" w:color="auto"/>
                    <w:right w:val="single" w:sz="6" w:space="0" w:color="auto"/>
                  </w:tcBorders>
                  <w:hideMark/>
                </w:tcPr>
                <w:p w14:paraId="236700F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403.0125 + n (0.0125)</w:t>
                  </w:r>
                </w:p>
              </w:tc>
              <w:tc>
                <w:tcPr>
                  <w:tcW w:w="1531" w:type="dxa"/>
                  <w:tcBorders>
                    <w:top w:val="nil"/>
                    <w:left w:val="single" w:sz="6" w:space="0" w:color="auto"/>
                    <w:bottom w:val="single" w:sz="6" w:space="0" w:color="auto"/>
                    <w:right w:val="single" w:sz="6" w:space="0" w:color="auto"/>
                  </w:tcBorders>
                  <w:hideMark/>
                </w:tcPr>
                <w:p w14:paraId="419C518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77</w:t>
                  </w:r>
                </w:p>
              </w:tc>
              <w:tc>
                <w:tcPr>
                  <w:tcW w:w="1701" w:type="dxa"/>
                  <w:tcBorders>
                    <w:top w:val="nil"/>
                    <w:left w:val="single" w:sz="6" w:space="0" w:color="auto"/>
                    <w:bottom w:val="single" w:sz="6" w:space="0" w:color="auto"/>
                    <w:right w:val="single" w:sz="12" w:space="0" w:color="auto"/>
                  </w:tcBorders>
                  <w:hideMark/>
                </w:tcPr>
                <w:p w14:paraId="24F08D6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403.0250</w:t>
                  </w:r>
                  <w:r>
                    <w:rPr>
                      <w:rFonts w:cs="Arial"/>
                      <w:szCs w:val="20"/>
                      <w:lang w:val="en-GB" w:eastAsia="en-US"/>
                    </w:rPr>
                    <w:br/>
                    <w:t>403.9750</w:t>
                  </w:r>
                </w:p>
              </w:tc>
              <w:bookmarkEnd w:id="23"/>
            </w:tr>
            <w:tr w:rsidR="00AA7E93" w14:paraId="0FA5A17B"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0E88147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B</w:t>
                  </w:r>
                </w:p>
              </w:tc>
              <w:tc>
                <w:tcPr>
                  <w:tcW w:w="3120" w:type="dxa"/>
                  <w:tcBorders>
                    <w:top w:val="single" w:sz="6" w:space="0" w:color="auto"/>
                    <w:left w:val="single" w:sz="6" w:space="0" w:color="auto"/>
                    <w:bottom w:val="single" w:sz="6" w:space="0" w:color="auto"/>
                    <w:right w:val="single" w:sz="6" w:space="0" w:color="auto"/>
                  </w:tcBorders>
                  <w:hideMark/>
                </w:tcPr>
                <w:p w14:paraId="1586943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point-to-point</w:t>
                  </w:r>
                  <w:r>
                    <w:rPr>
                      <w:rFonts w:cs="Arial"/>
                      <w:szCs w:val="20"/>
                      <w:lang w:val="en-GB" w:eastAsia="en-US"/>
                    </w:rPr>
                    <w:br/>
                    <w:t>(two frequency)</w:t>
                  </w:r>
                </w:p>
              </w:tc>
              <w:tc>
                <w:tcPr>
                  <w:tcW w:w="1418" w:type="dxa"/>
                  <w:tcBorders>
                    <w:top w:val="single" w:sz="6" w:space="0" w:color="auto"/>
                    <w:left w:val="single" w:sz="6" w:space="0" w:color="auto"/>
                    <w:bottom w:val="single" w:sz="6" w:space="0" w:color="auto"/>
                    <w:right w:val="single" w:sz="6" w:space="0" w:color="auto"/>
                  </w:tcBorders>
                  <w:hideMark/>
                </w:tcPr>
                <w:p w14:paraId="66F1D50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403.98125</w:t>
                  </w:r>
                  <w:r>
                    <w:rPr>
                      <w:rFonts w:cs="Arial"/>
                      <w:szCs w:val="20"/>
                      <w:lang w:val="en-GB" w:eastAsia="en-US"/>
                    </w:rPr>
                    <w:br/>
                    <w:t>405.01875</w:t>
                  </w:r>
                </w:p>
              </w:tc>
              <w:tc>
                <w:tcPr>
                  <w:tcW w:w="1134" w:type="dxa"/>
                  <w:tcBorders>
                    <w:top w:val="single" w:sz="6" w:space="0" w:color="auto"/>
                    <w:left w:val="single" w:sz="6" w:space="0" w:color="auto"/>
                    <w:bottom w:val="single" w:sz="6" w:space="0" w:color="auto"/>
                    <w:right w:val="single" w:sz="6" w:space="0" w:color="auto"/>
                  </w:tcBorders>
                  <w:hideMark/>
                </w:tcPr>
                <w:p w14:paraId="66866AD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J</w:t>
                  </w:r>
                </w:p>
              </w:tc>
              <w:tc>
                <w:tcPr>
                  <w:tcW w:w="1187" w:type="dxa"/>
                  <w:tcBorders>
                    <w:top w:val="single" w:sz="6" w:space="0" w:color="auto"/>
                    <w:left w:val="single" w:sz="6" w:space="0" w:color="auto"/>
                    <w:bottom w:val="single" w:sz="6" w:space="0" w:color="auto"/>
                    <w:right w:val="single" w:sz="6" w:space="0" w:color="auto"/>
                  </w:tcBorders>
                  <w:hideMark/>
                </w:tcPr>
                <w:p w14:paraId="4DBCEF1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642D991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403.98125 + n (0.0125)</w:t>
                  </w:r>
                </w:p>
              </w:tc>
              <w:tc>
                <w:tcPr>
                  <w:tcW w:w="1531" w:type="dxa"/>
                  <w:tcBorders>
                    <w:top w:val="single" w:sz="6" w:space="0" w:color="auto"/>
                    <w:left w:val="single" w:sz="6" w:space="0" w:color="auto"/>
                    <w:bottom w:val="single" w:sz="6" w:space="0" w:color="auto"/>
                    <w:right w:val="single" w:sz="6" w:space="0" w:color="auto"/>
                  </w:tcBorders>
                  <w:hideMark/>
                </w:tcPr>
                <w:p w14:paraId="4457606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82</w:t>
                  </w:r>
                </w:p>
              </w:tc>
              <w:tc>
                <w:tcPr>
                  <w:tcW w:w="1701" w:type="dxa"/>
                  <w:tcBorders>
                    <w:top w:val="single" w:sz="6" w:space="0" w:color="auto"/>
                    <w:left w:val="single" w:sz="6" w:space="0" w:color="auto"/>
                    <w:bottom w:val="single" w:sz="6" w:space="0" w:color="auto"/>
                    <w:right w:val="single" w:sz="12" w:space="0" w:color="auto"/>
                  </w:tcBorders>
                  <w:hideMark/>
                </w:tcPr>
                <w:p w14:paraId="671AF13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403.99375</w:t>
                  </w:r>
                  <w:r>
                    <w:rPr>
                      <w:rFonts w:cs="Arial"/>
                      <w:szCs w:val="20"/>
                      <w:lang w:val="en-GB" w:eastAsia="en-US"/>
                    </w:rPr>
                    <w:br/>
                    <w:t>405.00625</w:t>
                  </w:r>
                </w:p>
              </w:tc>
            </w:tr>
            <w:tr w:rsidR="00AA7E93" w14:paraId="5B0ED24C"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030A9D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w:t>
                  </w:r>
                </w:p>
              </w:tc>
              <w:tc>
                <w:tcPr>
                  <w:tcW w:w="3120" w:type="dxa"/>
                  <w:tcBorders>
                    <w:top w:val="single" w:sz="6" w:space="0" w:color="auto"/>
                    <w:left w:val="single" w:sz="6" w:space="0" w:color="auto"/>
                    <w:bottom w:val="single" w:sz="6" w:space="0" w:color="auto"/>
                    <w:right w:val="single" w:sz="6" w:space="0" w:color="auto"/>
                  </w:tcBorders>
                  <w:hideMark/>
                </w:tcPr>
                <w:p w14:paraId="45F1C71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r>
                    <w:rPr>
                      <w:rFonts w:cs="Arial"/>
                      <w:szCs w:val="20"/>
                      <w:lang w:val="en-GB" w:eastAsia="en-US"/>
                    </w:rPr>
                    <w:br/>
                    <w:t>(see note 7)</w:t>
                  </w:r>
                </w:p>
              </w:tc>
              <w:tc>
                <w:tcPr>
                  <w:tcW w:w="1418" w:type="dxa"/>
                  <w:tcBorders>
                    <w:top w:val="single" w:sz="6" w:space="0" w:color="auto"/>
                    <w:left w:val="single" w:sz="6" w:space="0" w:color="auto"/>
                    <w:bottom w:val="single" w:sz="6" w:space="0" w:color="auto"/>
                    <w:right w:val="single" w:sz="6" w:space="0" w:color="auto"/>
                  </w:tcBorders>
                  <w:hideMark/>
                </w:tcPr>
                <w:p w14:paraId="676EEF6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405.01875</w:t>
                  </w:r>
                  <w:r>
                    <w:rPr>
                      <w:rFonts w:cs="Arial"/>
                      <w:szCs w:val="20"/>
                      <w:lang w:val="en-GB" w:eastAsia="en-US"/>
                    </w:rPr>
                    <w:br/>
                    <w:t>406.0000</w:t>
                  </w:r>
                </w:p>
              </w:tc>
              <w:tc>
                <w:tcPr>
                  <w:tcW w:w="1134" w:type="dxa"/>
                  <w:tcBorders>
                    <w:top w:val="single" w:sz="6" w:space="0" w:color="auto"/>
                    <w:left w:val="single" w:sz="6" w:space="0" w:color="auto"/>
                    <w:bottom w:val="single" w:sz="6" w:space="0" w:color="auto"/>
                    <w:right w:val="single" w:sz="6" w:space="0" w:color="auto"/>
                  </w:tcBorders>
                  <w:hideMark/>
                </w:tcPr>
                <w:p w14:paraId="25E42C6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K</w:t>
                  </w:r>
                </w:p>
              </w:tc>
              <w:tc>
                <w:tcPr>
                  <w:tcW w:w="1187" w:type="dxa"/>
                  <w:tcBorders>
                    <w:top w:val="single" w:sz="6" w:space="0" w:color="auto"/>
                    <w:left w:val="single" w:sz="6" w:space="0" w:color="auto"/>
                    <w:bottom w:val="single" w:sz="6" w:space="0" w:color="auto"/>
                    <w:right w:val="single" w:sz="6" w:space="0" w:color="auto"/>
                  </w:tcBorders>
                  <w:hideMark/>
                </w:tcPr>
                <w:p w14:paraId="3D880BF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p>
              </w:tc>
              <w:tc>
                <w:tcPr>
                  <w:tcW w:w="2268" w:type="dxa"/>
                  <w:tcBorders>
                    <w:top w:val="single" w:sz="6" w:space="0" w:color="auto"/>
                    <w:left w:val="single" w:sz="6" w:space="0" w:color="auto"/>
                    <w:bottom w:val="single" w:sz="6" w:space="0" w:color="auto"/>
                    <w:right w:val="single" w:sz="6" w:space="0" w:color="auto"/>
                  </w:tcBorders>
                  <w:hideMark/>
                </w:tcPr>
                <w:p w14:paraId="273EC99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405.0125 + n (0.0125)</w:t>
                  </w:r>
                </w:p>
              </w:tc>
              <w:tc>
                <w:tcPr>
                  <w:tcW w:w="1531" w:type="dxa"/>
                  <w:tcBorders>
                    <w:top w:val="single" w:sz="6" w:space="0" w:color="auto"/>
                    <w:left w:val="single" w:sz="6" w:space="0" w:color="auto"/>
                    <w:bottom w:val="single" w:sz="6" w:space="0" w:color="auto"/>
                    <w:right w:val="single" w:sz="6" w:space="0" w:color="auto"/>
                  </w:tcBorders>
                  <w:hideMark/>
                </w:tcPr>
                <w:p w14:paraId="2EC8395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78</w:t>
                  </w:r>
                </w:p>
              </w:tc>
              <w:tc>
                <w:tcPr>
                  <w:tcW w:w="1701" w:type="dxa"/>
                  <w:tcBorders>
                    <w:top w:val="single" w:sz="6" w:space="0" w:color="auto"/>
                    <w:left w:val="single" w:sz="6" w:space="0" w:color="auto"/>
                    <w:bottom w:val="single" w:sz="6" w:space="0" w:color="auto"/>
                    <w:right w:val="single" w:sz="12" w:space="0" w:color="auto"/>
                  </w:tcBorders>
                  <w:hideMark/>
                </w:tcPr>
                <w:p w14:paraId="524C7AC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405.0250</w:t>
                  </w:r>
                  <w:r>
                    <w:rPr>
                      <w:rFonts w:cs="Arial"/>
                      <w:szCs w:val="20"/>
                      <w:lang w:val="en-GB" w:eastAsia="en-US"/>
                    </w:rPr>
                    <w:br/>
                    <w:t>405.98750</w:t>
                  </w:r>
                </w:p>
              </w:tc>
            </w:tr>
            <w:tr w:rsidR="00AA7E93" w14:paraId="31045950"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2A69BA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D</w:t>
                  </w:r>
                </w:p>
              </w:tc>
              <w:tc>
                <w:tcPr>
                  <w:tcW w:w="3120" w:type="dxa"/>
                  <w:tcBorders>
                    <w:top w:val="single" w:sz="6" w:space="0" w:color="auto"/>
                    <w:left w:val="single" w:sz="6" w:space="0" w:color="auto"/>
                    <w:bottom w:val="single" w:sz="6" w:space="0" w:color="auto"/>
                    <w:right w:val="single" w:sz="6" w:space="0" w:color="auto"/>
                  </w:tcBorders>
                  <w:hideMark/>
                </w:tcPr>
                <w:p w14:paraId="2CAF358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Mobile satellite service</w:t>
                  </w:r>
                </w:p>
              </w:tc>
              <w:tc>
                <w:tcPr>
                  <w:tcW w:w="1418" w:type="dxa"/>
                  <w:tcBorders>
                    <w:top w:val="single" w:sz="6" w:space="0" w:color="auto"/>
                    <w:left w:val="single" w:sz="6" w:space="0" w:color="auto"/>
                    <w:bottom w:val="single" w:sz="6" w:space="0" w:color="auto"/>
                    <w:right w:val="single" w:sz="6" w:space="0" w:color="auto"/>
                  </w:tcBorders>
                  <w:hideMark/>
                </w:tcPr>
                <w:p w14:paraId="58A57BA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406.0000</w:t>
                  </w:r>
                  <w:r>
                    <w:rPr>
                      <w:rFonts w:cs="Arial"/>
                      <w:szCs w:val="20"/>
                      <w:lang w:val="en-GB" w:eastAsia="en-US"/>
                    </w:rPr>
                    <w:br/>
                    <w:t>406.1000</w:t>
                  </w:r>
                </w:p>
              </w:tc>
              <w:tc>
                <w:tcPr>
                  <w:tcW w:w="1134" w:type="dxa"/>
                  <w:tcBorders>
                    <w:top w:val="single" w:sz="6" w:space="0" w:color="auto"/>
                    <w:left w:val="single" w:sz="6" w:space="0" w:color="auto"/>
                    <w:bottom w:val="single" w:sz="6" w:space="0" w:color="auto"/>
                    <w:right w:val="single" w:sz="6" w:space="0" w:color="auto"/>
                  </w:tcBorders>
                  <w:hideMark/>
                </w:tcPr>
                <w:p w14:paraId="5F854F9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184B4E3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2268" w:type="dxa"/>
                  <w:tcBorders>
                    <w:top w:val="single" w:sz="6" w:space="0" w:color="auto"/>
                    <w:left w:val="single" w:sz="6" w:space="0" w:color="auto"/>
                    <w:bottom w:val="single" w:sz="6" w:space="0" w:color="auto"/>
                    <w:right w:val="single" w:sz="6" w:space="0" w:color="auto"/>
                  </w:tcBorders>
                  <w:hideMark/>
                </w:tcPr>
                <w:p w14:paraId="1C045F36" w14:textId="77777777" w:rsidR="00AA7E93" w:rsidRDefault="00AA7E93">
                  <w:pPr>
                    <w:widowControl w:val="0"/>
                    <w:spacing w:before="40" w:after="120" w:line="240" w:lineRule="auto"/>
                    <w:ind w:left="790" w:right="-23"/>
                    <w:rPr>
                      <w:rFonts w:cs="Arial"/>
                      <w:szCs w:val="20"/>
                      <w:lang w:val="en-GB" w:eastAsia="en-US"/>
                    </w:rPr>
                  </w:pPr>
                  <w:r>
                    <w:rPr>
                      <w:rFonts w:cs="Arial"/>
                      <w:szCs w:val="20"/>
                      <w:lang w:val="en-GB" w:eastAsia="en-US"/>
                    </w:rPr>
                    <w:t>-</w:t>
                  </w:r>
                </w:p>
              </w:tc>
              <w:tc>
                <w:tcPr>
                  <w:tcW w:w="1531" w:type="dxa"/>
                  <w:tcBorders>
                    <w:top w:val="single" w:sz="6" w:space="0" w:color="auto"/>
                    <w:left w:val="single" w:sz="6" w:space="0" w:color="auto"/>
                    <w:bottom w:val="single" w:sz="6" w:space="0" w:color="auto"/>
                    <w:right w:val="single" w:sz="6" w:space="0" w:color="auto"/>
                  </w:tcBorders>
                  <w:hideMark/>
                </w:tcPr>
                <w:p w14:paraId="6EC55C2D" w14:textId="77777777" w:rsidR="00AA7E93" w:rsidRDefault="00AA7E93">
                  <w:pPr>
                    <w:widowControl w:val="0"/>
                    <w:spacing w:before="40" w:after="120" w:line="240" w:lineRule="auto"/>
                    <w:ind w:left="223" w:right="-23"/>
                    <w:rPr>
                      <w:rFonts w:cs="Arial"/>
                      <w:szCs w:val="20"/>
                      <w:lang w:val="en-GB" w:eastAsia="en-US"/>
                    </w:rPr>
                  </w:pPr>
                  <w:r>
                    <w:rPr>
                      <w:rFonts w:cs="Arial"/>
                      <w:szCs w:val="20"/>
                      <w:lang w:val="en-GB" w:eastAsia="en-US"/>
                    </w:rPr>
                    <w:t>-</w:t>
                  </w:r>
                </w:p>
              </w:tc>
              <w:tc>
                <w:tcPr>
                  <w:tcW w:w="1701" w:type="dxa"/>
                  <w:tcBorders>
                    <w:top w:val="single" w:sz="6" w:space="0" w:color="auto"/>
                    <w:left w:val="single" w:sz="6" w:space="0" w:color="auto"/>
                    <w:bottom w:val="single" w:sz="6" w:space="0" w:color="auto"/>
                    <w:right w:val="single" w:sz="12" w:space="0" w:color="auto"/>
                  </w:tcBorders>
                  <w:hideMark/>
                </w:tcPr>
                <w:p w14:paraId="246E2814" w14:textId="77777777" w:rsidR="00AA7E93" w:rsidRDefault="00AA7E93">
                  <w:pPr>
                    <w:widowControl w:val="0"/>
                    <w:spacing w:before="40" w:after="120" w:line="240" w:lineRule="auto"/>
                    <w:ind w:left="379" w:right="-23"/>
                    <w:rPr>
                      <w:rFonts w:cs="Arial"/>
                      <w:szCs w:val="20"/>
                      <w:lang w:val="en-GB" w:eastAsia="en-US"/>
                    </w:rPr>
                  </w:pPr>
                  <w:r>
                    <w:rPr>
                      <w:rFonts w:cs="Arial"/>
                      <w:szCs w:val="20"/>
                      <w:lang w:val="en-GB" w:eastAsia="en-US"/>
                    </w:rPr>
                    <w:t>-</w:t>
                  </w:r>
                </w:p>
              </w:tc>
            </w:tr>
            <w:tr w:rsidR="00AA7E93" w14:paraId="2FA61591"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0EE327E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E</w:t>
                  </w:r>
                </w:p>
              </w:tc>
              <w:tc>
                <w:tcPr>
                  <w:tcW w:w="3120" w:type="dxa"/>
                  <w:tcBorders>
                    <w:top w:val="single" w:sz="6" w:space="0" w:color="auto"/>
                    <w:left w:val="single" w:sz="6" w:space="0" w:color="auto"/>
                    <w:bottom w:val="single" w:sz="6" w:space="0" w:color="auto"/>
                    <w:right w:val="single" w:sz="6" w:space="0" w:color="auto"/>
                  </w:tcBorders>
                  <w:hideMark/>
                </w:tcPr>
                <w:p w14:paraId="3B7FB57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(trunked, base receive) (see note 10)</w:t>
                  </w:r>
                </w:p>
              </w:tc>
              <w:tc>
                <w:tcPr>
                  <w:tcW w:w="1418" w:type="dxa"/>
                  <w:tcBorders>
                    <w:top w:val="single" w:sz="6" w:space="0" w:color="auto"/>
                    <w:left w:val="single" w:sz="6" w:space="0" w:color="auto"/>
                    <w:bottom w:val="single" w:sz="6" w:space="0" w:color="auto"/>
                    <w:right w:val="single" w:sz="6" w:space="0" w:color="auto"/>
                  </w:tcBorders>
                  <w:hideMark/>
                </w:tcPr>
                <w:p w14:paraId="2D60A40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406.1000</w:t>
                  </w:r>
                  <w:r>
                    <w:rPr>
                      <w:rFonts w:cs="Arial"/>
                      <w:szCs w:val="20"/>
                      <w:lang w:val="en-GB" w:eastAsia="en-US"/>
                    </w:rPr>
                    <w:br/>
                    <w:t>408.64375</w:t>
                  </w:r>
                </w:p>
              </w:tc>
              <w:tc>
                <w:tcPr>
                  <w:tcW w:w="1134" w:type="dxa"/>
                  <w:tcBorders>
                    <w:top w:val="single" w:sz="6" w:space="0" w:color="auto"/>
                    <w:left w:val="single" w:sz="6" w:space="0" w:color="auto"/>
                    <w:bottom w:val="single" w:sz="6" w:space="0" w:color="auto"/>
                    <w:right w:val="single" w:sz="6" w:space="0" w:color="auto"/>
                  </w:tcBorders>
                  <w:hideMark/>
                </w:tcPr>
                <w:p w14:paraId="6F81F45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M</w:t>
                  </w:r>
                </w:p>
              </w:tc>
              <w:tc>
                <w:tcPr>
                  <w:tcW w:w="1187" w:type="dxa"/>
                  <w:tcBorders>
                    <w:top w:val="single" w:sz="6" w:space="0" w:color="auto"/>
                    <w:left w:val="single" w:sz="6" w:space="0" w:color="auto"/>
                    <w:bottom w:val="single" w:sz="6" w:space="0" w:color="auto"/>
                    <w:right w:val="single" w:sz="6" w:space="0" w:color="auto"/>
                  </w:tcBorders>
                  <w:hideMark/>
                </w:tcPr>
                <w:p w14:paraId="678880B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ABF63F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406.1125 + n (0.0125)</w:t>
                  </w:r>
                </w:p>
              </w:tc>
              <w:tc>
                <w:tcPr>
                  <w:tcW w:w="1531" w:type="dxa"/>
                  <w:tcBorders>
                    <w:top w:val="single" w:sz="6" w:space="0" w:color="auto"/>
                    <w:left w:val="single" w:sz="6" w:space="0" w:color="auto"/>
                    <w:bottom w:val="single" w:sz="6" w:space="0" w:color="auto"/>
                    <w:right w:val="single" w:sz="6" w:space="0" w:color="auto"/>
                  </w:tcBorders>
                  <w:hideMark/>
                </w:tcPr>
                <w:p w14:paraId="1B6AF95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202</w:t>
                  </w:r>
                </w:p>
              </w:tc>
              <w:tc>
                <w:tcPr>
                  <w:tcW w:w="1701" w:type="dxa"/>
                  <w:tcBorders>
                    <w:top w:val="single" w:sz="6" w:space="0" w:color="auto"/>
                    <w:left w:val="single" w:sz="6" w:space="0" w:color="auto"/>
                    <w:bottom w:val="single" w:sz="6" w:space="0" w:color="auto"/>
                    <w:right w:val="single" w:sz="12" w:space="0" w:color="auto"/>
                  </w:tcBorders>
                  <w:hideMark/>
                </w:tcPr>
                <w:p w14:paraId="71ED175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406.1250</w:t>
                  </w:r>
                  <w:r>
                    <w:rPr>
                      <w:rFonts w:cs="Arial"/>
                      <w:szCs w:val="20"/>
                      <w:lang w:val="en-GB" w:eastAsia="en-US"/>
                    </w:rPr>
                    <w:br/>
                    <w:t>408.6375</w:t>
                  </w:r>
                </w:p>
              </w:tc>
            </w:tr>
            <w:tr w:rsidR="00AA7E93" w14:paraId="4C0376D7"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19619F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F</w:t>
                  </w:r>
                </w:p>
              </w:tc>
              <w:tc>
                <w:tcPr>
                  <w:tcW w:w="3120" w:type="dxa"/>
                  <w:tcBorders>
                    <w:top w:val="single" w:sz="6" w:space="0" w:color="auto"/>
                    <w:left w:val="single" w:sz="6" w:space="0" w:color="auto"/>
                    <w:bottom w:val="single" w:sz="6" w:space="0" w:color="auto"/>
                    <w:right w:val="single" w:sz="6" w:space="0" w:color="auto"/>
                  </w:tcBorders>
                  <w:hideMark/>
                </w:tcPr>
                <w:p w14:paraId="466E0A3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r>
                    <w:rPr>
                      <w:rFonts w:cs="Arial"/>
                      <w:szCs w:val="20"/>
                      <w:lang w:val="en-GB" w:eastAsia="en-US"/>
                    </w:rPr>
                    <w:br/>
                    <w:t>(see notes 7 and 8)</w:t>
                  </w:r>
                </w:p>
              </w:tc>
              <w:tc>
                <w:tcPr>
                  <w:tcW w:w="1418" w:type="dxa"/>
                  <w:tcBorders>
                    <w:top w:val="single" w:sz="6" w:space="0" w:color="auto"/>
                    <w:left w:val="single" w:sz="6" w:space="0" w:color="auto"/>
                    <w:bottom w:val="single" w:sz="6" w:space="0" w:color="auto"/>
                    <w:right w:val="single" w:sz="6" w:space="0" w:color="auto"/>
                  </w:tcBorders>
                  <w:hideMark/>
                </w:tcPr>
                <w:p w14:paraId="068ACDC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408.64375</w:t>
                  </w:r>
                  <w:r>
                    <w:rPr>
                      <w:rFonts w:cs="Arial"/>
                      <w:szCs w:val="20"/>
                      <w:lang w:val="en-GB" w:eastAsia="en-US"/>
                    </w:rPr>
                    <w:br/>
                    <w:t>410.54375</w:t>
                  </w:r>
                </w:p>
              </w:tc>
              <w:tc>
                <w:tcPr>
                  <w:tcW w:w="1134" w:type="dxa"/>
                  <w:tcBorders>
                    <w:top w:val="single" w:sz="6" w:space="0" w:color="auto"/>
                    <w:left w:val="single" w:sz="6" w:space="0" w:color="auto"/>
                    <w:bottom w:val="single" w:sz="6" w:space="0" w:color="auto"/>
                    <w:right w:val="single" w:sz="6" w:space="0" w:color="auto"/>
                  </w:tcBorders>
                  <w:hideMark/>
                </w:tcPr>
                <w:p w14:paraId="16041C9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N</w:t>
                  </w:r>
                </w:p>
              </w:tc>
              <w:tc>
                <w:tcPr>
                  <w:tcW w:w="1187" w:type="dxa"/>
                  <w:tcBorders>
                    <w:top w:val="single" w:sz="6" w:space="0" w:color="auto"/>
                    <w:left w:val="single" w:sz="6" w:space="0" w:color="auto"/>
                    <w:bottom w:val="single" w:sz="6" w:space="0" w:color="auto"/>
                    <w:right w:val="single" w:sz="6" w:space="0" w:color="auto"/>
                  </w:tcBorders>
                  <w:hideMark/>
                </w:tcPr>
                <w:p w14:paraId="36C883A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p>
              </w:tc>
              <w:tc>
                <w:tcPr>
                  <w:tcW w:w="2268" w:type="dxa"/>
                  <w:tcBorders>
                    <w:top w:val="single" w:sz="6" w:space="0" w:color="auto"/>
                    <w:left w:val="single" w:sz="6" w:space="0" w:color="auto"/>
                    <w:bottom w:val="single" w:sz="6" w:space="0" w:color="auto"/>
                    <w:right w:val="single" w:sz="6" w:space="0" w:color="auto"/>
                  </w:tcBorders>
                  <w:hideMark/>
                </w:tcPr>
                <w:p w14:paraId="457042A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408.6375 + n (0.0125)</w:t>
                  </w:r>
                </w:p>
              </w:tc>
              <w:tc>
                <w:tcPr>
                  <w:tcW w:w="1531" w:type="dxa"/>
                  <w:tcBorders>
                    <w:top w:val="single" w:sz="6" w:space="0" w:color="auto"/>
                    <w:left w:val="single" w:sz="6" w:space="0" w:color="auto"/>
                    <w:bottom w:val="single" w:sz="6" w:space="0" w:color="auto"/>
                    <w:right w:val="single" w:sz="6" w:space="0" w:color="auto"/>
                  </w:tcBorders>
                  <w:hideMark/>
                </w:tcPr>
                <w:p w14:paraId="7EB9494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152</w:t>
                  </w:r>
                </w:p>
              </w:tc>
              <w:tc>
                <w:tcPr>
                  <w:tcW w:w="1701" w:type="dxa"/>
                  <w:tcBorders>
                    <w:top w:val="single" w:sz="6" w:space="0" w:color="auto"/>
                    <w:left w:val="single" w:sz="6" w:space="0" w:color="auto"/>
                    <w:bottom w:val="single" w:sz="6" w:space="0" w:color="auto"/>
                    <w:right w:val="single" w:sz="12" w:space="0" w:color="auto"/>
                  </w:tcBorders>
                  <w:hideMark/>
                </w:tcPr>
                <w:p w14:paraId="253DB98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408.6500</w:t>
                  </w:r>
                  <w:r>
                    <w:rPr>
                      <w:rFonts w:cs="Arial"/>
                      <w:szCs w:val="20"/>
                      <w:lang w:val="en-GB" w:eastAsia="en-US"/>
                    </w:rPr>
                    <w:br/>
                    <w:t>410.5375</w:t>
                  </w:r>
                </w:p>
              </w:tc>
            </w:tr>
            <w:tr w:rsidR="00AA7E93" w14:paraId="213B3F2B"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BF2E72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G</w:t>
                  </w:r>
                </w:p>
              </w:tc>
              <w:tc>
                <w:tcPr>
                  <w:tcW w:w="3120" w:type="dxa"/>
                  <w:tcBorders>
                    <w:top w:val="single" w:sz="6" w:space="0" w:color="auto"/>
                    <w:left w:val="single" w:sz="6" w:space="0" w:color="auto"/>
                    <w:bottom w:val="single" w:sz="6" w:space="0" w:color="auto"/>
                    <w:right w:val="single" w:sz="6" w:space="0" w:color="auto"/>
                  </w:tcBorders>
                  <w:hideMark/>
                </w:tcPr>
                <w:p w14:paraId="709B97B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1C1836A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410.54375</w:t>
                  </w:r>
                  <w:r>
                    <w:rPr>
                      <w:rFonts w:cs="Arial"/>
                      <w:szCs w:val="20"/>
                      <w:lang w:val="en-GB" w:eastAsia="en-US"/>
                    </w:rPr>
                    <w:br/>
                    <w:t>410.96875</w:t>
                  </w:r>
                </w:p>
              </w:tc>
              <w:tc>
                <w:tcPr>
                  <w:tcW w:w="1134" w:type="dxa"/>
                  <w:tcBorders>
                    <w:top w:val="single" w:sz="6" w:space="0" w:color="auto"/>
                    <w:left w:val="single" w:sz="6" w:space="0" w:color="auto"/>
                    <w:bottom w:val="single" w:sz="6" w:space="0" w:color="auto"/>
                    <w:right w:val="single" w:sz="6" w:space="0" w:color="auto"/>
                  </w:tcBorders>
                  <w:hideMark/>
                </w:tcPr>
                <w:p w14:paraId="67F6539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6FF2231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r>
                    <w:rPr>
                      <w:rFonts w:cs="Arial"/>
                      <w:szCs w:val="20"/>
                      <w:lang w:val="en-GB" w:eastAsia="en-US"/>
                    </w:rPr>
                    <w:br/>
                  </w:r>
                </w:p>
              </w:tc>
              <w:tc>
                <w:tcPr>
                  <w:tcW w:w="2268" w:type="dxa"/>
                  <w:tcBorders>
                    <w:top w:val="single" w:sz="6" w:space="0" w:color="auto"/>
                    <w:left w:val="single" w:sz="6" w:space="0" w:color="auto"/>
                    <w:bottom w:val="single" w:sz="6" w:space="0" w:color="auto"/>
                    <w:right w:val="single" w:sz="6" w:space="0" w:color="auto"/>
                  </w:tcBorders>
                  <w:hideMark/>
                </w:tcPr>
                <w:p w14:paraId="37393BF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410.5375 + n (0.0125)</w:t>
                  </w:r>
                </w:p>
              </w:tc>
              <w:tc>
                <w:tcPr>
                  <w:tcW w:w="1531" w:type="dxa"/>
                  <w:tcBorders>
                    <w:top w:val="single" w:sz="6" w:space="0" w:color="auto"/>
                    <w:left w:val="single" w:sz="6" w:space="0" w:color="auto"/>
                    <w:bottom w:val="single" w:sz="6" w:space="0" w:color="auto"/>
                    <w:right w:val="single" w:sz="6" w:space="0" w:color="auto"/>
                  </w:tcBorders>
                  <w:hideMark/>
                </w:tcPr>
                <w:p w14:paraId="29BF44E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34</w:t>
                  </w:r>
                </w:p>
              </w:tc>
              <w:tc>
                <w:tcPr>
                  <w:tcW w:w="1701" w:type="dxa"/>
                  <w:tcBorders>
                    <w:top w:val="single" w:sz="6" w:space="0" w:color="auto"/>
                    <w:left w:val="single" w:sz="6" w:space="0" w:color="auto"/>
                    <w:bottom w:val="single" w:sz="6" w:space="0" w:color="auto"/>
                    <w:right w:val="single" w:sz="12" w:space="0" w:color="auto"/>
                  </w:tcBorders>
                  <w:hideMark/>
                </w:tcPr>
                <w:p w14:paraId="29C2622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410.5500</w:t>
                  </w:r>
                  <w:r>
                    <w:rPr>
                      <w:rFonts w:cs="Arial"/>
                      <w:szCs w:val="20"/>
                      <w:lang w:val="en-GB" w:eastAsia="en-US"/>
                    </w:rPr>
                    <w:br/>
                    <w:t>410.9625</w:t>
                  </w:r>
                </w:p>
              </w:tc>
            </w:tr>
            <w:tr w:rsidR="00AA7E93" w14:paraId="53C067E8"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78F30A6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H</w:t>
                  </w:r>
                </w:p>
              </w:tc>
              <w:tc>
                <w:tcPr>
                  <w:tcW w:w="3120" w:type="dxa"/>
                  <w:tcBorders>
                    <w:top w:val="single" w:sz="6" w:space="0" w:color="auto"/>
                    <w:left w:val="single" w:sz="6" w:space="0" w:color="auto"/>
                    <w:bottom w:val="single" w:sz="6" w:space="0" w:color="auto"/>
                    <w:right w:val="single" w:sz="6" w:space="0" w:color="auto"/>
                  </w:tcBorders>
                  <w:hideMark/>
                </w:tcPr>
                <w:p w14:paraId="1EE394B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1BCE303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410.96875</w:t>
                  </w:r>
                  <w:r>
                    <w:rPr>
                      <w:rFonts w:cs="Arial"/>
                      <w:szCs w:val="20"/>
                      <w:lang w:val="en-GB" w:eastAsia="en-US"/>
                    </w:rPr>
                    <w:br/>
                    <w:t>412.46875</w:t>
                  </w:r>
                </w:p>
              </w:tc>
              <w:tc>
                <w:tcPr>
                  <w:tcW w:w="1134" w:type="dxa"/>
                  <w:tcBorders>
                    <w:top w:val="single" w:sz="6" w:space="0" w:color="auto"/>
                    <w:left w:val="single" w:sz="6" w:space="0" w:color="auto"/>
                    <w:bottom w:val="single" w:sz="6" w:space="0" w:color="auto"/>
                    <w:right w:val="single" w:sz="6" w:space="0" w:color="auto"/>
                  </w:tcBorders>
                  <w:hideMark/>
                </w:tcPr>
                <w:p w14:paraId="501B823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4A60787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1F93A7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410.9625  + n (0.0125)</w:t>
                  </w:r>
                </w:p>
              </w:tc>
              <w:tc>
                <w:tcPr>
                  <w:tcW w:w="1531" w:type="dxa"/>
                  <w:tcBorders>
                    <w:top w:val="single" w:sz="6" w:space="0" w:color="auto"/>
                    <w:left w:val="single" w:sz="6" w:space="0" w:color="auto"/>
                    <w:bottom w:val="single" w:sz="6" w:space="0" w:color="auto"/>
                    <w:right w:val="single" w:sz="6" w:space="0" w:color="auto"/>
                  </w:tcBorders>
                  <w:hideMark/>
                </w:tcPr>
                <w:p w14:paraId="01443ED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120</w:t>
                  </w:r>
                </w:p>
              </w:tc>
              <w:tc>
                <w:tcPr>
                  <w:tcW w:w="1701" w:type="dxa"/>
                  <w:tcBorders>
                    <w:top w:val="single" w:sz="6" w:space="0" w:color="auto"/>
                    <w:left w:val="single" w:sz="6" w:space="0" w:color="auto"/>
                    <w:bottom w:val="single" w:sz="6" w:space="0" w:color="auto"/>
                    <w:right w:val="single" w:sz="12" w:space="0" w:color="auto"/>
                  </w:tcBorders>
                  <w:hideMark/>
                </w:tcPr>
                <w:p w14:paraId="322BC20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410.975</w:t>
                  </w:r>
                  <w:r>
                    <w:rPr>
                      <w:rFonts w:cs="Arial"/>
                      <w:szCs w:val="20"/>
                      <w:lang w:val="en-GB" w:eastAsia="en-US"/>
                    </w:rPr>
                    <w:br/>
                    <w:t>412.4625</w:t>
                  </w:r>
                </w:p>
              </w:tc>
            </w:tr>
            <w:tr w:rsidR="00AA7E93" w14:paraId="1AB0A92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75F05F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lastRenderedPageBreak/>
                    <w:t>I</w:t>
                  </w:r>
                </w:p>
              </w:tc>
              <w:tc>
                <w:tcPr>
                  <w:tcW w:w="3120" w:type="dxa"/>
                  <w:tcBorders>
                    <w:top w:val="single" w:sz="6" w:space="0" w:color="auto"/>
                    <w:left w:val="single" w:sz="6" w:space="0" w:color="auto"/>
                    <w:bottom w:val="single" w:sz="6" w:space="0" w:color="auto"/>
                    <w:right w:val="single" w:sz="6" w:space="0" w:color="auto"/>
                  </w:tcBorders>
                  <w:hideMark/>
                </w:tcPr>
                <w:p w14:paraId="3373917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r>
                    <w:rPr>
                      <w:rFonts w:cs="Arial"/>
                      <w:szCs w:val="20"/>
                      <w:lang w:val="en-GB" w:eastAsia="en-US"/>
                    </w:rPr>
                    <w:br/>
                    <w:t>(see note 7)</w:t>
                  </w:r>
                </w:p>
              </w:tc>
              <w:tc>
                <w:tcPr>
                  <w:tcW w:w="1418" w:type="dxa"/>
                  <w:tcBorders>
                    <w:top w:val="single" w:sz="6" w:space="0" w:color="auto"/>
                    <w:left w:val="single" w:sz="6" w:space="0" w:color="auto"/>
                    <w:bottom w:val="single" w:sz="6" w:space="0" w:color="auto"/>
                    <w:right w:val="single" w:sz="6" w:space="0" w:color="auto"/>
                  </w:tcBorders>
                  <w:hideMark/>
                </w:tcPr>
                <w:p w14:paraId="73A074C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412.46875</w:t>
                  </w:r>
                  <w:r>
                    <w:rPr>
                      <w:rFonts w:cs="Arial"/>
                      <w:szCs w:val="20"/>
                      <w:lang w:val="en-GB" w:eastAsia="en-US"/>
                    </w:rPr>
                    <w:br/>
                    <w:t>413.43125</w:t>
                  </w:r>
                </w:p>
              </w:tc>
              <w:tc>
                <w:tcPr>
                  <w:tcW w:w="1134" w:type="dxa"/>
                  <w:tcBorders>
                    <w:top w:val="single" w:sz="6" w:space="0" w:color="auto"/>
                    <w:left w:val="single" w:sz="6" w:space="0" w:color="auto"/>
                    <w:bottom w:val="single" w:sz="6" w:space="0" w:color="auto"/>
                    <w:right w:val="single" w:sz="6" w:space="0" w:color="auto"/>
                  </w:tcBorders>
                  <w:hideMark/>
                </w:tcPr>
                <w:p w14:paraId="6DAD858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A</w:t>
                  </w:r>
                </w:p>
              </w:tc>
              <w:tc>
                <w:tcPr>
                  <w:tcW w:w="1187" w:type="dxa"/>
                  <w:tcBorders>
                    <w:top w:val="single" w:sz="6" w:space="0" w:color="auto"/>
                    <w:left w:val="single" w:sz="6" w:space="0" w:color="auto"/>
                    <w:bottom w:val="single" w:sz="6" w:space="0" w:color="auto"/>
                    <w:right w:val="single" w:sz="6" w:space="0" w:color="auto"/>
                  </w:tcBorders>
                  <w:hideMark/>
                </w:tcPr>
                <w:p w14:paraId="34E8A0E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p>
              </w:tc>
              <w:tc>
                <w:tcPr>
                  <w:tcW w:w="2268" w:type="dxa"/>
                  <w:tcBorders>
                    <w:top w:val="single" w:sz="6" w:space="0" w:color="auto"/>
                    <w:left w:val="single" w:sz="6" w:space="0" w:color="auto"/>
                    <w:bottom w:val="single" w:sz="6" w:space="0" w:color="auto"/>
                    <w:right w:val="single" w:sz="6" w:space="0" w:color="auto"/>
                  </w:tcBorders>
                  <w:hideMark/>
                </w:tcPr>
                <w:p w14:paraId="5B727AF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412.4625 + n (0.0125)</w:t>
                  </w:r>
                </w:p>
              </w:tc>
              <w:tc>
                <w:tcPr>
                  <w:tcW w:w="1531" w:type="dxa"/>
                  <w:tcBorders>
                    <w:top w:val="single" w:sz="6" w:space="0" w:color="auto"/>
                    <w:left w:val="single" w:sz="6" w:space="0" w:color="auto"/>
                    <w:bottom w:val="single" w:sz="6" w:space="0" w:color="auto"/>
                    <w:right w:val="single" w:sz="6" w:space="0" w:color="auto"/>
                  </w:tcBorders>
                  <w:hideMark/>
                </w:tcPr>
                <w:p w14:paraId="51E3370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77</w:t>
                  </w:r>
                </w:p>
              </w:tc>
              <w:tc>
                <w:tcPr>
                  <w:tcW w:w="1701" w:type="dxa"/>
                  <w:tcBorders>
                    <w:top w:val="single" w:sz="6" w:space="0" w:color="auto"/>
                    <w:left w:val="single" w:sz="6" w:space="0" w:color="auto"/>
                    <w:bottom w:val="single" w:sz="6" w:space="0" w:color="auto"/>
                    <w:right w:val="single" w:sz="12" w:space="0" w:color="auto"/>
                  </w:tcBorders>
                  <w:hideMark/>
                </w:tcPr>
                <w:p w14:paraId="14C312B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412.4750</w:t>
                  </w:r>
                  <w:r>
                    <w:rPr>
                      <w:rFonts w:cs="Arial"/>
                      <w:szCs w:val="20"/>
                      <w:lang w:val="en-GB" w:eastAsia="en-US"/>
                    </w:rPr>
                    <w:br/>
                    <w:t>413.4250</w:t>
                  </w:r>
                </w:p>
              </w:tc>
            </w:tr>
            <w:tr w:rsidR="00AA7E93" w14:paraId="7EAC9F13"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065708E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J</w:t>
                  </w:r>
                </w:p>
              </w:tc>
              <w:tc>
                <w:tcPr>
                  <w:tcW w:w="3120" w:type="dxa"/>
                  <w:tcBorders>
                    <w:top w:val="single" w:sz="6" w:space="0" w:color="auto"/>
                    <w:left w:val="single" w:sz="6" w:space="0" w:color="auto"/>
                    <w:bottom w:val="single" w:sz="6" w:space="0" w:color="auto"/>
                    <w:right w:val="single" w:sz="6" w:space="0" w:color="auto"/>
                  </w:tcBorders>
                  <w:hideMark/>
                </w:tcPr>
                <w:p w14:paraId="53FC57E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point-to-point</w:t>
                  </w:r>
                  <w:r>
                    <w:rPr>
                      <w:rFonts w:cs="Arial"/>
                      <w:szCs w:val="20"/>
                      <w:lang w:val="en-GB" w:eastAsia="en-US"/>
                    </w:rPr>
                    <w:br/>
                    <w:t>(two frequency)</w:t>
                  </w:r>
                </w:p>
              </w:tc>
              <w:tc>
                <w:tcPr>
                  <w:tcW w:w="1418" w:type="dxa"/>
                  <w:tcBorders>
                    <w:top w:val="single" w:sz="6" w:space="0" w:color="auto"/>
                    <w:left w:val="single" w:sz="6" w:space="0" w:color="auto"/>
                    <w:bottom w:val="single" w:sz="6" w:space="0" w:color="auto"/>
                    <w:right w:val="single" w:sz="6" w:space="0" w:color="auto"/>
                  </w:tcBorders>
                  <w:hideMark/>
                </w:tcPr>
                <w:p w14:paraId="12C64E8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413.43125</w:t>
                  </w:r>
                  <w:r>
                    <w:rPr>
                      <w:rFonts w:cs="Arial"/>
                      <w:szCs w:val="20"/>
                      <w:lang w:val="en-GB" w:eastAsia="en-US"/>
                    </w:rPr>
                    <w:br/>
                    <w:t>414.46875</w:t>
                  </w:r>
                </w:p>
              </w:tc>
              <w:tc>
                <w:tcPr>
                  <w:tcW w:w="1134" w:type="dxa"/>
                  <w:tcBorders>
                    <w:top w:val="single" w:sz="6" w:space="0" w:color="auto"/>
                    <w:left w:val="single" w:sz="6" w:space="0" w:color="auto"/>
                    <w:bottom w:val="single" w:sz="6" w:space="0" w:color="auto"/>
                    <w:right w:val="single" w:sz="6" w:space="0" w:color="auto"/>
                  </w:tcBorders>
                  <w:hideMark/>
                </w:tcPr>
                <w:p w14:paraId="5CBE8D2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B</w:t>
                  </w:r>
                </w:p>
              </w:tc>
              <w:tc>
                <w:tcPr>
                  <w:tcW w:w="1187" w:type="dxa"/>
                  <w:tcBorders>
                    <w:top w:val="single" w:sz="6" w:space="0" w:color="auto"/>
                    <w:left w:val="single" w:sz="6" w:space="0" w:color="auto"/>
                    <w:bottom w:val="single" w:sz="6" w:space="0" w:color="auto"/>
                    <w:right w:val="single" w:sz="6" w:space="0" w:color="auto"/>
                  </w:tcBorders>
                  <w:hideMark/>
                </w:tcPr>
                <w:p w14:paraId="153A907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p>
              </w:tc>
              <w:tc>
                <w:tcPr>
                  <w:tcW w:w="2268" w:type="dxa"/>
                  <w:tcBorders>
                    <w:top w:val="single" w:sz="6" w:space="0" w:color="auto"/>
                    <w:left w:val="single" w:sz="6" w:space="0" w:color="auto"/>
                    <w:bottom w:val="single" w:sz="6" w:space="0" w:color="auto"/>
                    <w:right w:val="single" w:sz="6" w:space="0" w:color="auto"/>
                  </w:tcBorders>
                  <w:hideMark/>
                </w:tcPr>
                <w:p w14:paraId="02C45FD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413.43125 + n (0.0125)</w:t>
                  </w:r>
                </w:p>
              </w:tc>
              <w:tc>
                <w:tcPr>
                  <w:tcW w:w="1531" w:type="dxa"/>
                  <w:tcBorders>
                    <w:top w:val="single" w:sz="6" w:space="0" w:color="auto"/>
                    <w:left w:val="single" w:sz="6" w:space="0" w:color="auto"/>
                    <w:bottom w:val="single" w:sz="6" w:space="0" w:color="auto"/>
                    <w:right w:val="single" w:sz="6" w:space="0" w:color="auto"/>
                  </w:tcBorders>
                  <w:hideMark/>
                </w:tcPr>
                <w:p w14:paraId="429DDA0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82</w:t>
                  </w:r>
                </w:p>
              </w:tc>
              <w:tc>
                <w:tcPr>
                  <w:tcW w:w="1701" w:type="dxa"/>
                  <w:tcBorders>
                    <w:top w:val="single" w:sz="6" w:space="0" w:color="auto"/>
                    <w:left w:val="single" w:sz="6" w:space="0" w:color="auto"/>
                    <w:bottom w:val="single" w:sz="6" w:space="0" w:color="auto"/>
                    <w:right w:val="single" w:sz="12" w:space="0" w:color="auto"/>
                  </w:tcBorders>
                  <w:hideMark/>
                </w:tcPr>
                <w:p w14:paraId="3CC2225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413.44375</w:t>
                  </w:r>
                  <w:r>
                    <w:rPr>
                      <w:rFonts w:cs="Arial"/>
                      <w:szCs w:val="20"/>
                      <w:lang w:val="en-GB" w:eastAsia="en-US"/>
                    </w:rPr>
                    <w:br/>
                    <w:t>414.45625</w:t>
                  </w:r>
                </w:p>
              </w:tc>
            </w:tr>
            <w:tr w:rsidR="00AA7E93" w14:paraId="36E771B9"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F5F879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K</w:t>
                  </w:r>
                </w:p>
              </w:tc>
              <w:tc>
                <w:tcPr>
                  <w:tcW w:w="3120" w:type="dxa"/>
                  <w:tcBorders>
                    <w:top w:val="single" w:sz="6" w:space="0" w:color="auto"/>
                    <w:left w:val="single" w:sz="6" w:space="0" w:color="auto"/>
                    <w:bottom w:val="single" w:sz="6" w:space="0" w:color="auto"/>
                    <w:right w:val="single" w:sz="6" w:space="0" w:color="auto"/>
                  </w:tcBorders>
                  <w:hideMark/>
                </w:tcPr>
                <w:p w14:paraId="4EE0ECF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r>
                    <w:rPr>
                      <w:rFonts w:cs="Arial"/>
                      <w:szCs w:val="20"/>
                      <w:lang w:val="en-GB" w:eastAsia="en-US"/>
                    </w:rPr>
                    <w:br/>
                    <w:t>(see note 7)</w:t>
                  </w:r>
                </w:p>
              </w:tc>
              <w:tc>
                <w:tcPr>
                  <w:tcW w:w="1418" w:type="dxa"/>
                  <w:tcBorders>
                    <w:top w:val="single" w:sz="6" w:space="0" w:color="auto"/>
                    <w:left w:val="single" w:sz="6" w:space="0" w:color="auto"/>
                    <w:bottom w:val="single" w:sz="6" w:space="0" w:color="auto"/>
                    <w:right w:val="single" w:sz="6" w:space="0" w:color="auto"/>
                  </w:tcBorders>
                  <w:hideMark/>
                </w:tcPr>
                <w:p w14:paraId="25F096E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414.46875</w:t>
                  </w:r>
                  <w:r>
                    <w:rPr>
                      <w:rFonts w:cs="Arial"/>
                      <w:szCs w:val="20"/>
                      <w:lang w:val="en-GB" w:eastAsia="en-US"/>
                    </w:rPr>
                    <w:br/>
                    <w:t>415.44375</w:t>
                  </w:r>
                </w:p>
              </w:tc>
              <w:tc>
                <w:tcPr>
                  <w:tcW w:w="1134" w:type="dxa"/>
                  <w:tcBorders>
                    <w:top w:val="single" w:sz="6" w:space="0" w:color="auto"/>
                    <w:left w:val="single" w:sz="6" w:space="0" w:color="auto"/>
                    <w:bottom w:val="single" w:sz="6" w:space="0" w:color="auto"/>
                    <w:right w:val="single" w:sz="6" w:space="0" w:color="auto"/>
                  </w:tcBorders>
                  <w:hideMark/>
                </w:tcPr>
                <w:p w14:paraId="19D9F27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w:t>
                  </w:r>
                </w:p>
              </w:tc>
              <w:tc>
                <w:tcPr>
                  <w:tcW w:w="1187" w:type="dxa"/>
                  <w:tcBorders>
                    <w:top w:val="single" w:sz="6" w:space="0" w:color="auto"/>
                    <w:left w:val="single" w:sz="6" w:space="0" w:color="auto"/>
                    <w:bottom w:val="single" w:sz="6" w:space="0" w:color="auto"/>
                    <w:right w:val="single" w:sz="6" w:space="0" w:color="auto"/>
                  </w:tcBorders>
                  <w:hideMark/>
                </w:tcPr>
                <w:p w14:paraId="59376AD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3E0A890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414.4625 + n (0.0125)</w:t>
                  </w:r>
                </w:p>
              </w:tc>
              <w:tc>
                <w:tcPr>
                  <w:tcW w:w="1531" w:type="dxa"/>
                  <w:tcBorders>
                    <w:top w:val="single" w:sz="6" w:space="0" w:color="auto"/>
                    <w:left w:val="single" w:sz="6" w:space="0" w:color="auto"/>
                    <w:bottom w:val="single" w:sz="6" w:space="0" w:color="auto"/>
                    <w:right w:val="single" w:sz="6" w:space="0" w:color="auto"/>
                  </w:tcBorders>
                  <w:hideMark/>
                </w:tcPr>
                <w:p w14:paraId="3536CF7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78</w:t>
                  </w:r>
                </w:p>
              </w:tc>
              <w:tc>
                <w:tcPr>
                  <w:tcW w:w="1701" w:type="dxa"/>
                  <w:tcBorders>
                    <w:top w:val="single" w:sz="6" w:space="0" w:color="auto"/>
                    <w:left w:val="single" w:sz="6" w:space="0" w:color="auto"/>
                    <w:bottom w:val="single" w:sz="6" w:space="0" w:color="auto"/>
                    <w:right w:val="single" w:sz="12" w:space="0" w:color="auto"/>
                  </w:tcBorders>
                  <w:hideMark/>
                </w:tcPr>
                <w:p w14:paraId="12C1FBD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414.4750</w:t>
                  </w:r>
                  <w:r>
                    <w:rPr>
                      <w:rFonts w:cs="Arial"/>
                      <w:szCs w:val="20"/>
                      <w:lang w:val="en-GB" w:eastAsia="en-US"/>
                    </w:rPr>
                    <w:br/>
                    <w:t>415.4375</w:t>
                  </w:r>
                </w:p>
              </w:tc>
            </w:tr>
            <w:tr w:rsidR="00AA7E93" w14:paraId="5D6FBFCB"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802A16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L</w:t>
                  </w:r>
                </w:p>
              </w:tc>
              <w:tc>
                <w:tcPr>
                  <w:tcW w:w="3120" w:type="dxa"/>
                  <w:tcBorders>
                    <w:top w:val="single" w:sz="6" w:space="0" w:color="auto"/>
                    <w:left w:val="single" w:sz="6" w:space="0" w:color="auto"/>
                    <w:bottom w:val="single" w:sz="6" w:space="0" w:color="auto"/>
                    <w:right w:val="single" w:sz="6" w:space="0" w:color="auto"/>
                  </w:tcBorders>
                  <w:hideMark/>
                </w:tcPr>
                <w:p w14:paraId="47F67BB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55F4845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415.44375</w:t>
                  </w:r>
                  <w:r>
                    <w:rPr>
                      <w:rFonts w:cs="Arial"/>
                      <w:szCs w:val="20"/>
                      <w:lang w:val="en-GB" w:eastAsia="en-US"/>
                    </w:rPr>
                    <w:br/>
                    <w:t>415.56875</w:t>
                  </w:r>
                </w:p>
              </w:tc>
              <w:tc>
                <w:tcPr>
                  <w:tcW w:w="1134" w:type="dxa"/>
                  <w:tcBorders>
                    <w:top w:val="single" w:sz="6" w:space="0" w:color="auto"/>
                    <w:left w:val="single" w:sz="6" w:space="0" w:color="auto"/>
                    <w:bottom w:val="single" w:sz="6" w:space="0" w:color="auto"/>
                    <w:right w:val="single" w:sz="6" w:space="0" w:color="auto"/>
                  </w:tcBorders>
                  <w:hideMark/>
                </w:tcPr>
                <w:p w14:paraId="20855F7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37ACF12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00ABA46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415.4375 + n (0.0125)</w:t>
                  </w:r>
                </w:p>
              </w:tc>
              <w:tc>
                <w:tcPr>
                  <w:tcW w:w="1531" w:type="dxa"/>
                  <w:tcBorders>
                    <w:top w:val="single" w:sz="6" w:space="0" w:color="auto"/>
                    <w:left w:val="single" w:sz="6" w:space="0" w:color="auto"/>
                    <w:bottom w:val="single" w:sz="6" w:space="0" w:color="auto"/>
                    <w:right w:val="single" w:sz="6" w:space="0" w:color="auto"/>
                  </w:tcBorders>
                  <w:hideMark/>
                </w:tcPr>
                <w:p w14:paraId="53CFEC3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10</w:t>
                  </w:r>
                </w:p>
              </w:tc>
              <w:tc>
                <w:tcPr>
                  <w:tcW w:w="1701" w:type="dxa"/>
                  <w:tcBorders>
                    <w:top w:val="single" w:sz="6" w:space="0" w:color="auto"/>
                    <w:left w:val="single" w:sz="6" w:space="0" w:color="auto"/>
                    <w:bottom w:val="single" w:sz="6" w:space="0" w:color="auto"/>
                    <w:right w:val="single" w:sz="12" w:space="0" w:color="auto"/>
                  </w:tcBorders>
                  <w:hideMark/>
                </w:tcPr>
                <w:p w14:paraId="6AA52B0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415.4500</w:t>
                  </w:r>
                  <w:r>
                    <w:rPr>
                      <w:rFonts w:cs="Arial"/>
                      <w:szCs w:val="20"/>
                      <w:lang w:val="en-GB" w:eastAsia="en-US"/>
                    </w:rPr>
                    <w:br/>
                    <w:t>415.5625</w:t>
                  </w:r>
                </w:p>
              </w:tc>
            </w:tr>
            <w:tr w:rsidR="00AA7E93" w14:paraId="582AB426"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231DC74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M</w:t>
                  </w:r>
                </w:p>
              </w:tc>
              <w:tc>
                <w:tcPr>
                  <w:tcW w:w="3120" w:type="dxa"/>
                  <w:tcBorders>
                    <w:top w:val="single" w:sz="6" w:space="0" w:color="auto"/>
                    <w:left w:val="single" w:sz="6" w:space="0" w:color="auto"/>
                    <w:bottom w:val="single" w:sz="6" w:space="0" w:color="auto"/>
                    <w:right w:val="single" w:sz="6" w:space="0" w:color="auto"/>
                  </w:tcBorders>
                  <w:hideMark/>
                </w:tcPr>
                <w:p w14:paraId="4873DF2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(trunked, base transmit) (see note 10)</w:t>
                  </w:r>
                </w:p>
              </w:tc>
              <w:tc>
                <w:tcPr>
                  <w:tcW w:w="1418" w:type="dxa"/>
                  <w:tcBorders>
                    <w:top w:val="single" w:sz="6" w:space="0" w:color="auto"/>
                    <w:left w:val="single" w:sz="6" w:space="0" w:color="auto"/>
                    <w:bottom w:val="single" w:sz="6" w:space="0" w:color="auto"/>
                    <w:right w:val="single" w:sz="6" w:space="0" w:color="auto"/>
                  </w:tcBorders>
                  <w:hideMark/>
                </w:tcPr>
                <w:p w14:paraId="20443FD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415.56875</w:t>
                  </w:r>
                  <w:r>
                    <w:rPr>
                      <w:rFonts w:cs="Arial"/>
                      <w:szCs w:val="20"/>
                      <w:lang w:val="en-GB" w:eastAsia="en-US"/>
                    </w:rPr>
                    <w:br/>
                    <w:t>418.09375</w:t>
                  </w:r>
                </w:p>
              </w:tc>
              <w:tc>
                <w:tcPr>
                  <w:tcW w:w="1134" w:type="dxa"/>
                  <w:tcBorders>
                    <w:top w:val="single" w:sz="6" w:space="0" w:color="auto"/>
                    <w:left w:val="single" w:sz="6" w:space="0" w:color="auto"/>
                    <w:bottom w:val="single" w:sz="6" w:space="0" w:color="auto"/>
                    <w:right w:val="single" w:sz="6" w:space="0" w:color="auto"/>
                  </w:tcBorders>
                  <w:hideMark/>
                </w:tcPr>
                <w:p w14:paraId="755129A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E</w:t>
                  </w:r>
                </w:p>
              </w:tc>
              <w:tc>
                <w:tcPr>
                  <w:tcW w:w="1187" w:type="dxa"/>
                  <w:tcBorders>
                    <w:top w:val="single" w:sz="6" w:space="0" w:color="auto"/>
                    <w:left w:val="single" w:sz="6" w:space="0" w:color="auto"/>
                    <w:bottom w:val="single" w:sz="6" w:space="0" w:color="auto"/>
                    <w:right w:val="single" w:sz="6" w:space="0" w:color="auto"/>
                  </w:tcBorders>
                  <w:hideMark/>
                </w:tcPr>
                <w:p w14:paraId="45B8387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475A579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415.5625 + n (0.0125)</w:t>
                  </w:r>
                </w:p>
              </w:tc>
              <w:tc>
                <w:tcPr>
                  <w:tcW w:w="1531" w:type="dxa"/>
                  <w:tcBorders>
                    <w:top w:val="single" w:sz="6" w:space="0" w:color="auto"/>
                    <w:left w:val="single" w:sz="6" w:space="0" w:color="auto"/>
                    <w:bottom w:val="single" w:sz="6" w:space="0" w:color="auto"/>
                    <w:right w:val="single" w:sz="6" w:space="0" w:color="auto"/>
                  </w:tcBorders>
                  <w:hideMark/>
                </w:tcPr>
                <w:p w14:paraId="6FDEFE1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202</w:t>
                  </w:r>
                </w:p>
              </w:tc>
              <w:tc>
                <w:tcPr>
                  <w:tcW w:w="1701" w:type="dxa"/>
                  <w:tcBorders>
                    <w:top w:val="single" w:sz="6" w:space="0" w:color="auto"/>
                    <w:left w:val="single" w:sz="6" w:space="0" w:color="auto"/>
                    <w:bottom w:val="single" w:sz="6" w:space="0" w:color="auto"/>
                    <w:right w:val="single" w:sz="12" w:space="0" w:color="auto"/>
                  </w:tcBorders>
                  <w:hideMark/>
                </w:tcPr>
                <w:p w14:paraId="58C6A81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415.5750</w:t>
                  </w:r>
                  <w:r>
                    <w:rPr>
                      <w:rFonts w:cs="Arial"/>
                      <w:szCs w:val="20"/>
                      <w:lang w:val="en-GB" w:eastAsia="en-US"/>
                    </w:rPr>
                    <w:br/>
                    <w:t>418.0875</w:t>
                  </w:r>
                </w:p>
              </w:tc>
            </w:tr>
            <w:tr w:rsidR="00AA7E93" w14:paraId="240CC9C5"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794DE81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N</w:t>
                  </w:r>
                </w:p>
              </w:tc>
              <w:tc>
                <w:tcPr>
                  <w:tcW w:w="3120" w:type="dxa"/>
                  <w:tcBorders>
                    <w:top w:val="single" w:sz="6" w:space="0" w:color="auto"/>
                    <w:left w:val="single" w:sz="6" w:space="0" w:color="auto"/>
                    <w:bottom w:val="single" w:sz="6" w:space="0" w:color="auto"/>
                    <w:right w:val="single" w:sz="6" w:space="0" w:color="auto"/>
                  </w:tcBorders>
                  <w:hideMark/>
                </w:tcPr>
                <w:p w14:paraId="3CCD0BA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r>
                    <w:rPr>
                      <w:rFonts w:cs="Arial"/>
                      <w:szCs w:val="20"/>
                      <w:lang w:val="en-GB" w:eastAsia="en-US"/>
                    </w:rPr>
                    <w:br/>
                    <w:t>(see notes 7 and 8)</w:t>
                  </w:r>
                </w:p>
              </w:tc>
              <w:tc>
                <w:tcPr>
                  <w:tcW w:w="1418" w:type="dxa"/>
                  <w:tcBorders>
                    <w:top w:val="single" w:sz="6" w:space="0" w:color="auto"/>
                    <w:left w:val="single" w:sz="6" w:space="0" w:color="auto"/>
                    <w:bottom w:val="single" w:sz="6" w:space="0" w:color="auto"/>
                    <w:right w:val="single" w:sz="6" w:space="0" w:color="auto"/>
                  </w:tcBorders>
                  <w:hideMark/>
                </w:tcPr>
                <w:p w14:paraId="2145BF8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418.09375</w:t>
                  </w:r>
                  <w:r>
                    <w:rPr>
                      <w:rFonts w:cs="Arial"/>
                      <w:szCs w:val="20"/>
                      <w:lang w:val="en-GB" w:eastAsia="en-US"/>
                    </w:rPr>
                    <w:br/>
                    <w:t>420.0000</w:t>
                  </w:r>
                </w:p>
              </w:tc>
              <w:tc>
                <w:tcPr>
                  <w:tcW w:w="1134" w:type="dxa"/>
                  <w:tcBorders>
                    <w:top w:val="single" w:sz="6" w:space="0" w:color="auto"/>
                    <w:left w:val="single" w:sz="6" w:space="0" w:color="auto"/>
                    <w:bottom w:val="single" w:sz="6" w:space="0" w:color="auto"/>
                    <w:right w:val="single" w:sz="6" w:space="0" w:color="auto"/>
                  </w:tcBorders>
                  <w:hideMark/>
                </w:tcPr>
                <w:p w14:paraId="0BD20D3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F</w:t>
                  </w:r>
                </w:p>
              </w:tc>
              <w:tc>
                <w:tcPr>
                  <w:tcW w:w="1187" w:type="dxa"/>
                  <w:tcBorders>
                    <w:top w:val="single" w:sz="6" w:space="0" w:color="auto"/>
                    <w:left w:val="single" w:sz="6" w:space="0" w:color="auto"/>
                    <w:bottom w:val="single" w:sz="6" w:space="0" w:color="auto"/>
                    <w:right w:val="single" w:sz="6" w:space="0" w:color="auto"/>
                  </w:tcBorders>
                  <w:hideMark/>
                </w:tcPr>
                <w:p w14:paraId="1451C90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2099E76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418.0875 + n (0.0125)</w:t>
                  </w:r>
                </w:p>
              </w:tc>
              <w:tc>
                <w:tcPr>
                  <w:tcW w:w="1531" w:type="dxa"/>
                  <w:tcBorders>
                    <w:top w:val="single" w:sz="6" w:space="0" w:color="auto"/>
                    <w:left w:val="single" w:sz="6" w:space="0" w:color="auto"/>
                    <w:bottom w:val="single" w:sz="6" w:space="0" w:color="auto"/>
                    <w:right w:val="single" w:sz="6" w:space="0" w:color="auto"/>
                  </w:tcBorders>
                  <w:hideMark/>
                </w:tcPr>
                <w:p w14:paraId="4B4F872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152</w:t>
                  </w:r>
                </w:p>
              </w:tc>
              <w:tc>
                <w:tcPr>
                  <w:tcW w:w="1701" w:type="dxa"/>
                  <w:tcBorders>
                    <w:top w:val="single" w:sz="6" w:space="0" w:color="auto"/>
                    <w:left w:val="single" w:sz="6" w:space="0" w:color="auto"/>
                    <w:bottom w:val="single" w:sz="6" w:space="0" w:color="auto"/>
                    <w:right w:val="single" w:sz="12" w:space="0" w:color="auto"/>
                  </w:tcBorders>
                  <w:hideMark/>
                </w:tcPr>
                <w:p w14:paraId="44FFCA9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418.1000</w:t>
                  </w:r>
                  <w:r>
                    <w:rPr>
                      <w:rFonts w:cs="Arial"/>
                      <w:szCs w:val="20"/>
                      <w:lang w:val="en-GB" w:eastAsia="en-US"/>
                    </w:rPr>
                    <w:br/>
                    <w:t>419.9875</w:t>
                  </w:r>
                </w:p>
              </w:tc>
            </w:tr>
            <w:tr w:rsidR="00AA7E93" w14:paraId="14F261AF"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9A5512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O</w:t>
                  </w:r>
                </w:p>
              </w:tc>
              <w:tc>
                <w:tcPr>
                  <w:tcW w:w="3120" w:type="dxa"/>
                  <w:tcBorders>
                    <w:top w:val="single" w:sz="6" w:space="0" w:color="auto"/>
                    <w:left w:val="single" w:sz="6" w:space="0" w:color="auto"/>
                    <w:bottom w:val="single" w:sz="6" w:space="0" w:color="auto"/>
                    <w:right w:val="single" w:sz="6" w:space="0" w:color="auto"/>
                  </w:tcBorders>
                  <w:hideMark/>
                </w:tcPr>
                <w:p w14:paraId="7626FCB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(see note 7)</w:t>
                  </w:r>
                </w:p>
              </w:tc>
              <w:tc>
                <w:tcPr>
                  <w:tcW w:w="1418" w:type="dxa"/>
                  <w:tcBorders>
                    <w:top w:val="single" w:sz="6" w:space="0" w:color="auto"/>
                    <w:left w:val="single" w:sz="6" w:space="0" w:color="auto"/>
                    <w:bottom w:val="single" w:sz="6" w:space="0" w:color="auto"/>
                    <w:right w:val="single" w:sz="6" w:space="0" w:color="auto"/>
                  </w:tcBorders>
                  <w:hideMark/>
                </w:tcPr>
                <w:p w14:paraId="50B8DCA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420.0000</w:t>
                  </w:r>
                  <w:r>
                    <w:rPr>
                      <w:rFonts w:cs="Arial"/>
                      <w:szCs w:val="20"/>
                      <w:lang w:val="en-GB" w:eastAsia="en-US"/>
                    </w:rPr>
                    <w:br/>
                    <w:t>430.0000</w:t>
                  </w:r>
                </w:p>
              </w:tc>
              <w:tc>
                <w:tcPr>
                  <w:tcW w:w="1134" w:type="dxa"/>
                  <w:tcBorders>
                    <w:top w:val="single" w:sz="6" w:space="0" w:color="auto"/>
                    <w:left w:val="single" w:sz="6" w:space="0" w:color="auto"/>
                    <w:bottom w:val="single" w:sz="6" w:space="0" w:color="auto"/>
                    <w:right w:val="single" w:sz="6" w:space="0" w:color="auto"/>
                  </w:tcBorders>
                  <w:hideMark/>
                </w:tcPr>
                <w:p w14:paraId="5EF4ED8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7548E9C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2268" w:type="dxa"/>
                  <w:tcBorders>
                    <w:top w:val="single" w:sz="6" w:space="0" w:color="auto"/>
                    <w:left w:val="single" w:sz="6" w:space="0" w:color="auto"/>
                    <w:bottom w:val="single" w:sz="6" w:space="0" w:color="auto"/>
                    <w:right w:val="single" w:sz="6" w:space="0" w:color="auto"/>
                  </w:tcBorders>
                  <w:hideMark/>
                </w:tcPr>
                <w:p w14:paraId="093D1E56" w14:textId="77777777" w:rsidR="00AA7E93" w:rsidRDefault="00AA7E93">
                  <w:pPr>
                    <w:widowControl w:val="0"/>
                    <w:tabs>
                      <w:tab w:val="left" w:pos="1244"/>
                    </w:tabs>
                    <w:spacing w:before="40" w:after="120" w:line="240" w:lineRule="auto"/>
                    <w:ind w:left="819" w:right="-23"/>
                    <w:rPr>
                      <w:rFonts w:cs="Arial"/>
                      <w:szCs w:val="20"/>
                      <w:lang w:val="en-GB" w:eastAsia="en-US"/>
                    </w:rPr>
                  </w:pPr>
                  <w:r>
                    <w:rPr>
                      <w:rFonts w:cs="Arial"/>
                      <w:szCs w:val="20"/>
                      <w:lang w:val="en-GB" w:eastAsia="en-US"/>
                    </w:rPr>
                    <w:t>-</w:t>
                  </w:r>
                </w:p>
              </w:tc>
              <w:tc>
                <w:tcPr>
                  <w:tcW w:w="1531" w:type="dxa"/>
                  <w:tcBorders>
                    <w:top w:val="single" w:sz="6" w:space="0" w:color="auto"/>
                    <w:left w:val="single" w:sz="6" w:space="0" w:color="auto"/>
                    <w:bottom w:val="single" w:sz="6" w:space="0" w:color="auto"/>
                    <w:right w:val="single" w:sz="6" w:space="0" w:color="auto"/>
                  </w:tcBorders>
                  <w:hideMark/>
                </w:tcPr>
                <w:p w14:paraId="08C16EC9" w14:textId="77777777" w:rsidR="00AA7E93" w:rsidRDefault="00AA7E93">
                  <w:pPr>
                    <w:widowControl w:val="0"/>
                    <w:spacing w:before="40" w:after="120" w:line="240" w:lineRule="auto"/>
                    <w:ind w:left="393" w:right="-23"/>
                    <w:rPr>
                      <w:rFonts w:cs="Arial"/>
                      <w:szCs w:val="20"/>
                      <w:lang w:val="en-GB" w:eastAsia="en-US"/>
                    </w:rPr>
                  </w:pPr>
                  <w:r>
                    <w:rPr>
                      <w:rFonts w:cs="Arial"/>
                      <w:szCs w:val="20"/>
                      <w:lang w:val="en-GB" w:eastAsia="en-US"/>
                    </w:rPr>
                    <w:t>-</w:t>
                  </w:r>
                </w:p>
              </w:tc>
              <w:tc>
                <w:tcPr>
                  <w:tcW w:w="1701" w:type="dxa"/>
                  <w:tcBorders>
                    <w:top w:val="single" w:sz="6" w:space="0" w:color="auto"/>
                    <w:left w:val="single" w:sz="6" w:space="0" w:color="auto"/>
                    <w:bottom w:val="single" w:sz="6" w:space="0" w:color="auto"/>
                    <w:right w:val="single" w:sz="12" w:space="0" w:color="auto"/>
                  </w:tcBorders>
                  <w:hideMark/>
                </w:tcPr>
                <w:p w14:paraId="7FC3C891" w14:textId="77777777" w:rsidR="00AA7E93" w:rsidRDefault="00AA7E93">
                  <w:pPr>
                    <w:widowControl w:val="0"/>
                    <w:tabs>
                      <w:tab w:val="left" w:pos="422"/>
                    </w:tabs>
                    <w:spacing w:before="40" w:after="120" w:line="240" w:lineRule="auto"/>
                    <w:ind w:left="280" w:right="-23"/>
                    <w:rPr>
                      <w:rFonts w:cs="Arial"/>
                      <w:szCs w:val="20"/>
                      <w:lang w:val="en-GB" w:eastAsia="en-US"/>
                    </w:rPr>
                  </w:pPr>
                  <w:r>
                    <w:rPr>
                      <w:rFonts w:cs="Arial"/>
                      <w:szCs w:val="20"/>
                      <w:lang w:val="en-GB" w:eastAsia="en-US"/>
                    </w:rPr>
                    <w:t>-</w:t>
                  </w:r>
                </w:p>
              </w:tc>
            </w:tr>
            <w:tr w:rsidR="00AA7E93" w14:paraId="255FC9E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19A258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P</w:t>
                  </w:r>
                </w:p>
              </w:tc>
              <w:tc>
                <w:tcPr>
                  <w:tcW w:w="3120" w:type="dxa"/>
                  <w:tcBorders>
                    <w:top w:val="single" w:sz="6" w:space="0" w:color="auto"/>
                    <w:left w:val="single" w:sz="6" w:space="0" w:color="auto"/>
                    <w:bottom w:val="single" w:sz="6" w:space="0" w:color="auto"/>
                    <w:right w:val="single" w:sz="6" w:space="0" w:color="auto"/>
                  </w:tcBorders>
                  <w:hideMark/>
                </w:tcPr>
                <w:p w14:paraId="019F8E2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 xml:space="preserve">(single frequency) </w:t>
                  </w:r>
                  <w:r>
                    <w:rPr>
                      <w:rFonts w:cs="Arial"/>
                      <w:szCs w:val="20"/>
                      <w:lang w:val="en-GB" w:eastAsia="en-US"/>
                    </w:rPr>
                    <w:br/>
                    <w:t>(see notes 1 and 8)</w:t>
                  </w:r>
                </w:p>
              </w:tc>
              <w:tc>
                <w:tcPr>
                  <w:tcW w:w="1418" w:type="dxa"/>
                  <w:tcBorders>
                    <w:top w:val="single" w:sz="6" w:space="0" w:color="auto"/>
                    <w:left w:val="single" w:sz="6" w:space="0" w:color="auto"/>
                    <w:bottom w:val="single" w:sz="6" w:space="0" w:color="auto"/>
                    <w:right w:val="single" w:sz="6" w:space="0" w:color="auto"/>
                  </w:tcBorders>
                  <w:hideMark/>
                </w:tcPr>
                <w:p w14:paraId="611D58A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450.0000</w:t>
                  </w:r>
                  <w:r>
                    <w:rPr>
                      <w:rFonts w:cs="Arial"/>
                      <w:szCs w:val="20"/>
                      <w:lang w:val="en-GB" w:eastAsia="en-US"/>
                    </w:rPr>
                    <w:br/>
                    <w:t xml:space="preserve">450.4875 </w:t>
                  </w:r>
                </w:p>
              </w:tc>
              <w:tc>
                <w:tcPr>
                  <w:tcW w:w="1134" w:type="dxa"/>
                  <w:tcBorders>
                    <w:top w:val="single" w:sz="6" w:space="0" w:color="auto"/>
                    <w:left w:val="single" w:sz="6" w:space="0" w:color="auto"/>
                    <w:bottom w:val="single" w:sz="6" w:space="0" w:color="auto"/>
                    <w:right w:val="single" w:sz="6" w:space="0" w:color="auto"/>
                  </w:tcBorders>
                  <w:hideMark/>
                </w:tcPr>
                <w:p w14:paraId="3DDE69B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18896FA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6B8C8CDD" w14:textId="77777777" w:rsidR="00AA7E93" w:rsidRDefault="00AA7E93">
                  <w:pPr>
                    <w:widowControl w:val="0"/>
                    <w:tabs>
                      <w:tab w:val="left" w:pos="1244"/>
                    </w:tabs>
                    <w:spacing w:before="40" w:after="120" w:line="240" w:lineRule="auto"/>
                    <w:ind w:right="-23"/>
                    <w:rPr>
                      <w:rFonts w:cs="Arial"/>
                      <w:szCs w:val="20"/>
                      <w:lang w:val="en-GB" w:eastAsia="en-US"/>
                    </w:rPr>
                  </w:pPr>
                  <w:r>
                    <w:rPr>
                      <w:rFonts w:cs="Arial"/>
                      <w:szCs w:val="20"/>
                      <w:lang w:val="en-GB" w:eastAsia="en-US"/>
                    </w:rPr>
                    <w:t>450.0125 + n (0.0125)</w:t>
                  </w:r>
                </w:p>
              </w:tc>
              <w:tc>
                <w:tcPr>
                  <w:tcW w:w="1531" w:type="dxa"/>
                  <w:tcBorders>
                    <w:top w:val="single" w:sz="6" w:space="0" w:color="auto"/>
                    <w:left w:val="single" w:sz="6" w:space="0" w:color="auto"/>
                    <w:bottom w:val="single" w:sz="6" w:space="0" w:color="auto"/>
                    <w:right w:val="single" w:sz="6" w:space="0" w:color="auto"/>
                  </w:tcBorders>
                  <w:hideMark/>
                </w:tcPr>
                <w:p w14:paraId="0A04F38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37</w:t>
                  </w:r>
                </w:p>
              </w:tc>
              <w:tc>
                <w:tcPr>
                  <w:tcW w:w="1701" w:type="dxa"/>
                  <w:tcBorders>
                    <w:top w:val="single" w:sz="6" w:space="0" w:color="auto"/>
                    <w:left w:val="single" w:sz="6" w:space="0" w:color="auto"/>
                    <w:bottom w:val="single" w:sz="6" w:space="0" w:color="auto"/>
                    <w:right w:val="single" w:sz="12" w:space="0" w:color="auto"/>
                  </w:tcBorders>
                  <w:hideMark/>
                </w:tcPr>
                <w:p w14:paraId="7AFF0B42" w14:textId="77777777" w:rsidR="00AA7E93" w:rsidRDefault="00AA7E93">
                  <w:pPr>
                    <w:widowControl w:val="0"/>
                    <w:tabs>
                      <w:tab w:val="left" w:pos="0"/>
                    </w:tabs>
                    <w:spacing w:before="40" w:after="120" w:line="240" w:lineRule="auto"/>
                    <w:ind w:right="-23"/>
                    <w:rPr>
                      <w:rFonts w:cs="Arial"/>
                      <w:szCs w:val="20"/>
                      <w:lang w:val="en-GB" w:eastAsia="en-US"/>
                    </w:rPr>
                  </w:pPr>
                  <w:r>
                    <w:rPr>
                      <w:rFonts w:cs="Arial"/>
                      <w:szCs w:val="20"/>
                      <w:lang w:val="en-GB" w:eastAsia="en-US"/>
                    </w:rPr>
                    <w:t>450.0250</w:t>
                  </w:r>
                  <w:r>
                    <w:rPr>
                      <w:rFonts w:cs="Arial"/>
                      <w:szCs w:val="20"/>
                      <w:lang w:val="en-GB" w:eastAsia="en-US"/>
                    </w:rPr>
                    <w:br/>
                    <w:t>450.4750</w:t>
                  </w:r>
                </w:p>
              </w:tc>
            </w:tr>
            <w:tr w:rsidR="00AA7E93" w14:paraId="3CB21164"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6D2791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Q</w:t>
                  </w:r>
                </w:p>
              </w:tc>
              <w:tc>
                <w:tcPr>
                  <w:tcW w:w="3120" w:type="dxa"/>
                  <w:tcBorders>
                    <w:top w:val="single" w:sz="6" w:space="0" w:color="auto"/>
                    <w:left w:val="single" w:sz="6" w:space="0" w:color="auto"/>
                    <w:bottom w:val="single" w:sz="6" w:space="0" w:color="auto"/>
                    <w:right w:val="single" w:sz="6" w:space="0" w:color="auto"/>
                  </w:tcBorders>
                  <w:hideMark/>
                </w:tcPr>
                <w:p w14:paraId="337D3C9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point-to-point</w:t>
                  </w:r>
                  <w:r>
                    <w:rPr>
                      <w:rFonts w:cs="Arial"/>
                      <w:szCs w:val="20"/>
                      <w:lang w:val="en-GB" w:eastAsia="en-US"/>
                    </w:rPr>
                    <w:br/>
                    <w:t>(two frequency)</w:t>
                  </w:r>
                </w:p>
              </w:tc>
              <w:tc>
                <w:tcPr>
                  <w:tcW w:w="1418" w:type="dxa"/>
                  <w:tcBorders>
                    <w:top w:val="single" w:sz="6" w:space="0" w:color="auto"/>
                    <w:left w:val="single" w:sz="6" w:space="0" w:color="auto"/>
                    <w:bottom w:val="single" w:sz="6" w:space="0" w:color="auto"/>
                    <w:right w:val="single" w:sz="6" w:space="0" w:color="auto"/>
                  </w:tcBorders>
                  <w:hideMark/>
                </w:tcPr>
                <w:p w14:paraId="6689DAF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 xml:space="preserve">450.4875 </w:t>
                  </w:r>
                  <w:r>
                    <w:rPr>
                      <w:rFonts w:cs="Arial"/>
                      <w:szCs w:val="20"/>
                      <w:lang w:val="en-GB" w:eastAsia="en-US"/>
                    </w:rPr>
                    <w:br/>
                    <w:t>451.5125</w:t>
                  </w:r>
                </w:p>
              </w:tc>
              <w:tc>
                <w:tcPr>
                  <w:tcW w:w="1134" w:type="dxa"/>
                  <w:tcBorders>
                    <w:top w:val="single" w:sz="6" w:space="0" w:color="auto"/>
                    <w:left w:val="single" w:sz="6" w:space="0" w:color="auto"/>
                    <w:bottom w:val="single" w:sz="6" w:space="0" w:color="auto"/>
                    <w:right w:val="single" w:sz="6" w:space="0" w:color="auto"/>
                  </w:tcBorders>
                  <w:hideMark/>
                </w:tcPr>
                <w:p w14:paraId="51A1664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U</w:t>
                  </w:r>
                </w:p>
              </w:tc>
              <w:tc>
                <w:tcPr>
                  <w:tcW w:w="1187" w:type="dxa"/>
                  <w:tcBorders>
                    <w:top w:val="single" w:sz="6" w:space="0" w:color="auto"/>
                    <w:left w:val="single" w:sz="6" w:space="0" w:color="auto"/>
                    <w:bottom w:val="single" w:sz="6" w:space="0" w:color="auto"/>
                    <w:right w:val="single" w:sz="6" w:space="0" w:color="auto"/>
                  </w:tcBorders>
                  <w:hideMark/>
                </w:tcPr>
                <w:p w14:paraId="37DEA9D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427297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450.48125 + n (0.0125)</w:t>
                  </w:r>
                </w:p>
              </w:tc>
              <w:tc>
                <w:tcPr>
                  <w:tcW w:w="1531" w:type="dxa"/>
                  <w:tcBorders>
                    <w:top w:val="single" w:sz="6" w:space="0" w:color="auto"/>
                    <w:left w:val="single" w:sz="6" w:space="0" w:color="auto"/>
                    <w:bottom w:val="single" w:sz="6" w:space="0" w:color="auto"/>
                    <w:right w:val="single" w:sz="6" w:space="0" w:color="auto"/>
                  </w:tcBorders>
                  <w:hideMark/>
                </w:tcPr>
                <w:p w14:paraId="1D6FDF6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82</w:t>
                  </w:r>
                </w:p>
              </w:tc>
              <w:tc>
                <w:tcPr>
                  <w:tcW w:w="1701" w:type="dxa"/>
                  <w:tcBorders>
                    <w:top w:val="single" w:sz="6" w:space="0" w:color="auto"/>
                    <w:left w:val="single" w:sz="6" w:space="0" w:color="auto"/>
                    <w:bottom w:val="single" w:sz="6" w:space="0" w:color="auto"/>
                    <w:right w:val="single" w:sz="12" w:space="0" w:color="auto"/>
                  </w:tcBorders>
                  <w:hideMark/>
                </w:tcPr>
                <w:p w14:paraId="67DA4C6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450.49375</w:t>
                  </w:r>
                  <w:r>
                    <w:rPr>
                      <w:rFonts w:cs="Arial"/>
                      <w:szCs w:val="20"/>
                      <w:lang w:val="en-GB" w:eastAsia="en-US"/>
                    </w:rPr>
                    <w:br/>
                    <w:t>451.50625</w:t>
                  </w:r>
                </w:p>
              </w:tc>
            </w:tr>
            <w:tr w:rsidR="00AA7E93" w14:paraId="232C98E5"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651FA7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R</w:t>
                  </w:r>
                </w:p>
              </w:tc>
              <w:tc>
                <w:tcPr>
                  <w:tcW w:w="3120" w:type="dxa"/>
                  <w:tcBorders>
                    <w:top w:val="single" w:sz="6" w:space="0" w:color="auto"/>
                    <w:left w:val="single" w:sz="6" w:space="0" w:color="auto"/>
                    <w:bottom w:val="single" w:sz="6" w:space="0" w:color="auto"/>
                    <w:right w:val="single" w:sz="6" w:space="0" w:color="auto"/>
                  </w:tcBorders>
                  <w:hideMark/>
                </w:tcPr>
                <w:p w14:paraId="6202E94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point-to-multipoint</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24BCCD5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451.5125</w:t>
                  </w:r>
                  <w:r>
                    <w:rPr>
                      <w:rFonts w:cs="Arial"/>
                      <w:szCs w:val="20"/>
                      <w:lang w:val="en-GB" w:eastAsia="en-US"/>
                    </w:rPr>
                    <w:br/>
                    <w:t>452.5000</w:t>
                  </w:r>
                </w:p>
              </w:tc>
              <w:tc>
                <w:tcPr>
                  <w:tcW w:w="1134" w:type="dxa"/>
                  <w:tcBorders>
                    <w:top w:val="single" w:sz="6" w:space="0" w:color="auto"/>
                    <w:left w:val="single" w:sz="6" w:space="0" w:color="auto"/>
                    <w:bottom w:val="single" w:sz="6" w:space="0" w:color="auto"/>
                    <w:right w:val="single" w:sz="6" w:space="0" w:color="auto"/>
                  </w:tcBorders>
                  <w:hideMark/>
                </w:tcPr>
                <w:p w14:paraId="7A1D8BE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V</w:t>
                  </w:r>
                </w:p>
              </w:tc>
              <w:tc>
                <w:tcPr>
                  <w:tcW w:w="1187" w:type="dxa"/>
                  <w:tcBorders>
                    <w:top w:val="single" w:sz="6" w:space="0" w:color="auto"/>
                    <w:left w:val="single" w:sz="6" w:space="0" w:color="auto"/>
                    <w:bottom w:val="single" w:sz="6" w:space="0" w:color="auto"/>
                    <w:right w:val="single" w:sz="6" w:space="0" w:color="auto"/>
                  </w:tcBorders>
                  <w:hideMark/>
                </w:tcPr>
                <w:p w14:paraId="5A8D9B0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p w14:paraId="058026BF" w14:textId="77777777" w:rsidR="00AA7E93" w:rsidRDefault="00AA7E93">
                  <w:pPr>
                    <w:widowControl w:val="0"/>
                    <w:spacing w:before="40" w:after="120" w:line="240" w:lineRule="auto"/>
                    <w:ind w:left="-163" w:right="-23"/>
                    <w:jc w:val="center"/>
                    <w:rPr>
                      <w:rFonts w:cs="Arial"/>
                      <w:szCs w:val="20"/>
                      <w:lang w:val="en-GB" w:eastAsia="en-US"/>
                    </w:rPr>
                  </w:pPr>
                  <w:r>
                    <w:rPr>
                      <w:rFonts w:cs="Arial"/>
                      <w:szCs w:val="20"/>
                      <w:lang w:val="en-GB" w:eastAsia="en-US"/>
                    </w:rPr>
                    <w:t>(see note 3)</w:t>
                  </w:r>
                </w:p>
              </w:tc>
              <w:tc>
                <w:tcPr>
                  <w:tcW w:w="2268" w:type="dxa"/>
                  <w:tcBorders>
                    <w:top w:val="single" w:sz="6" w:space="0" w:color="auto"/>
                    <w:left w:val="single" w:sz="6" w:space="0" w:color="auto"/>
                    <w:bottom w:val="single" w:sz="6" w:space="0" w:color="auto"/>
                    <w:right w:val="single" w:sz="6" w:space="0" w:color="auto"/>
                  </w:tcBorders>
                  <w:hideMark/>
                </w:tcPr>
                <w:p w14:paraId="205B156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451.50625 + n (0.0125)</w:t>
                  </w:r>
                </w:p>
              </w:tc>
              <w:tc>
                <w:tcPr>
                  <w:tcW w:w="1531" w:type="dxa"/>
                  <w:tcBorders>
                    <w:top w:val="single" w:sz="6" w:space="0" w:color="auto"/>
                    <w:left w:val="single" w:sz="6" w:space="0" w:color="auto"/>
                    <w:bottom w:val="single" w:sz="6" w:space="0" w:color="auto"/>
                    <w:right w:val="single" w:sz="6" w:space="0" w:color="auto"/>
                  </w:tcBorders>
                  <w:hideMark/>
                </w:tcPr>
                <w:p w14:paraId="6150C3B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79</w:t>
                  </w:r>
                </w:p>
              </w:tc>
              <w:tc>
                <w:tcPr>
                  <w:tcW w:w="1701" w:type="dxa"/>
                  <w:tcBorders>
                    <w:top w:val="single" w:sz="6" w:space="0" w:color="auto"/>
                    <w:left w:val="single" w:sz="6" w:space="0" w:color="auto"/>
                    <w:bottom w:val="single" w:sz="6" w:space="0" w:color="auto"/>
                    <w:right w:val="single" w:sz="12" w:space="0" w:color="auto"/>
                  </w:tcBorders>
                  <w:hideMark/>
                </w:tcPr>
                <w:p w14:paraId="72723A1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451.51875</w:t>
                  </w:r>
                  <w:r>
                    <w:rPr>
                      <w:rFonts w:cs="Arial"/>
                      <w:szCs w:val="20"/>
                      <w:lang w:val="en-GB" w:eastAsia="en-US"/>
                    </w:rPr>
                    <w:br/>
                    <w:t>452.49375</w:t>
                  </w:r>
                </w:p>
              </w:tc>
            </w:tr>
            <w:tr w:rsidR="00AA7E93" w14:paraId="30DCCF5A"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00F256B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lastRenderedPageBreak/>
                    <w:t>S</w:t>
                  </w:r>
                </w:p>
              </w:tc>
              <w:tc>
                <w:tcPr>
                  <w:tcW w:w="3120" w:type="dxa"/>
                  <w:tcBorders>
                    <w:top w:val="single" w:sz="6" w:space="0" w:color="auto"/>
                    <w:left w:val="single" w:sz="6" w:space="0" w:color="auto"/>
                    <w:bottom w:val="single" w:sz="6" w:space="0" w:color="auto"/>
                    <w:right w:val="single" w:sz="6" w:space="0" w:color="auto"/>
                  </w:tcBorders>
                  <w:hideMark/>
                </w:tcPr>
                <w:p w14:paraId="6BF690C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 (see note 2)</w:t>
                  </w:r>
                </w:p>
              </w:tc>
              <w:tc>
                <w:tcPr>
                  <w:tcW w:w="1418" w:type="dxa"/>
                  <w:tcBorders>
                    <w:top w:val="single" w:sz="6" w:space="0" w:color="auto"/>
                    <w:left w:val="single" w:sz="6" w:space="0" w:color="auto"/>
                    <w:bottom w:val="single" w:sz="6" w:space="0" w:color="auto"/>
                    <w:right w:val="single" w:sz="6" w:space="0" w:color="auto"/>
                  </w:tcBorders>
                  <w:hideMark/>
                </w:tcPr>
                <w:p w14:paraId="6D1D601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452.5000</w:t>
                  </w:r>
                  <w:r>
                    <w:rPr>
                      <w:rFonts w:cs="Arial"/>
                      <w:szCs w:val="20"/>
                      <w:lang w:val="en-GB" w:eastAsia="en-US"/>
                    </w:rPr>
                    <w:br/>
                    <w:t>457.50625</w:t>
                  </w:r>
                </w:p>
              </w:tc>
              <w:tc>
                <w:tcPr>
                  <w:tcW w:w="1134" w:type="dxa"/>
                  <w:tcBorders>
                    <w:top w:val="single" w:sz="6" w:space="0" w:color="auto"/>
                    <w:left w:val="single" w:sz="6" w:space="0" w:color="auto"/>
                    <w:bottom w:val="single" w:sz="6" w:space="0" w:color="auto"/>
                    <w:right w:val="single" w:sz="6" w:space="0" w:color="auto"/>
                  </w:tcBorders>
                  <w:hideMark/>
                </w:tcPr>
                <w:p w14:paraId="1AFC151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X</w:t>
                  </w:r>
                </w:p>
              </w:tc>
              <w:tc>
                <w:tcPr>
                  <w:tcW w:w="1187" w:type="dxa"/>
                  <w:tcBorders>
                    <w:top w:val="single" w:sz="6" w:space="0" w:color="auto"/>
                    <w:left w:val="single" w:sz="6" w:space="0" w:color="auto"/>
                    <w:bottom w:val="single" w:sz="6" w:space="0" w:color="auto"/>
                    <w:right w:val="single" w:sz="6" w:space="0" w:color="auto"/>
                  </w:tcBorders>
                  <w:hideMark/>
                </w:tcPr>
                <w:p w14:paraId="53C2F3B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90DA3A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452.5 + n (0.0125)</w:t>
                  </w:r>
                </w:p>
              </w:tc>
              <w:tc>
                <w:tcPr>
                  <w:tcW w:w="1531" w:type="dxa"/>
                  <w:tcBorders>
                    <w:top w:val="single" w:sz="6" w:space="0" w:color="auto"/>
                    <w:left w:val="single" w:sz="6" w:space="0" w:color="auto"/>
                    <w:bottom w:val="single" w:sz="6" w:space="0" w:color="auto"/>
                    <w:right w:val="single" w:sz="6" w:space="0" w:color="auto"/>
                  </w:tcBorders>
                  <w:hideMark/>
                </w:tcPr>
                <w:p w14:paraId="1B4D140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400</w:t>
                  </w:r>
                </w:p>
              </w:tc>
              <w:tc>
                <w:tcPr>
                  <w:tcW w:w="1701" w:type="dxa"/>
                  <w:tcBorders>
                    <w:top w:val="single" w:sz="6" w:space="0" w:color="auto"/>
                    <w:left w:val="single" w:sz="6" w:space="0" w:color="auto"/>
                    <w:bottom w:val="single" w:sz="6" w:space="0" w:color="auto"/>
                    <w:right w:val="single" w:sz="12" w:space="0" w:color="auto"/>
                  </w:tcBorders>
                  <w:hideMark/>
                </w:tcPr>
                <w:p w14:paraId="7705B42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452.5125</w:t>
                  </w:r>
                  <w:r>
                    <w:rPr>
                      <w:rFonts w:cs="Arial"/>
                      <w:szCs w:val="20"/>
                      <w:lang w:val="en-GB" w:eastAsia="en-US"/>
                    </w:rPr>
                    <w:br/>
                    <w:t>457.5000</w:t>
                  </w:r>
                </w:p>
              </w:tc>
            </w:tr>
            <w:tr w:rsidR="00AA7E93" w14:paraId="215F5F8C"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220B765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T</w:t>
                  </w:r>
                </w:p>
              </w:tc>
              <w:tc>
                <w:tcPr>
                  <w:tcW w:w="3120" w:type="dxa"/>
                  <w:tcBorders>
                    <w:top w:val="single" w:sz="6" w:space="0" w:color="auto"/>
                    <w:left w:val="single" w:sz="6" w:space="0" w:color="auto"/>
                    <w:bottom w:val="single" w:sz="6" w:space="0" w:color="auto"/>
                    <w:right w:val="single" w:sz="6" w:space="0" w:color="auto"/>
                  </w:tcBorders>
                  <w:hideMark/>
                </w:tcPr>
                <w:p w14:paraId="2CC83F8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r>
                    <w:rPr>
                      <w:rFonts w:cs="Arial"/>
                      <w:szCs w:val="20"/>
                      <w:lang w:val="en-GB" w:eastAsia="en-US"/>
                    </w:rPr>
                    <w:br/>
                    <w:t>(see notes 4 and 7)</w:t>
                  </w:r>
                </w:p>
              </w:tc>
              <w:tc>
                <w:tcPr>
                  <w:tcW w:w="1418" w:type="dxa"/>
                  <w:tcBorders>
                    <w:top w:val="single" w:sz="6" w:space="0" w:color="auto"/>
                    <w:left w:val="single" w:sz="6" w:space="0" w:color="auto"/>
                    <w:bottom w:val="single" w:sz="6" w:space="0" w:color="auto"/>
                    <w:right w:val="single" w:sz="6" w:space="0" w:color="auto"/>
                  </w:tcBorders>
                  <w:hideMark/>
                </w:tcPr>
                <w:p w14:paraId="193ACA6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457.50625</w:t>
                  </w:r>
                  <w:r>
                    <w:rPr>
                      <w:rFonts w:cs="Arial"/>
                      <w:szCs w:val="20"/>
                      <w:lang w:val="en-GB" w:eastAsia="en-US"/>
                    </w:rPr>
                    <w:br/>
                    <w:t>459.9875</w:t>
                  </w:r>
                </w:p>
              </w:tc>
              <w:tc>
                <w:tcPr>
                  <w:tcW w:w="1134" w:type="dxa"/>
                  <w:tcBorders>
                    <w:top w:val="single" w:sz="6" w:space="0" w:color="auto"/>
                    <w:left w:val="single" w:sz="6" w:space="0" w:color="auto"/>
                    <w:bottom w:val="single" w:sz="6" w:space="0" w:color="auto"/>
                    <w:right w:val="single" w:sz="6" w:space="0" w:color="auto"/>
                  </w:tcBorders>
                  <w:hideMark/>
                </w:tcPr>
                <w:p w14:paraId="7F74BF5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Y</w:t>
                  </w:r>
                </w:p>
              </w:tc>
              <w:tc>
                <w:tcPr>
                  <w:tcW w:w="1187" w:type="dxa"/>
                  <w:tcBorders>
                    <w:top w:val="single" w:sz="6" w:space="0" w:color="auto"/>
                    <w:left w:val="single" w:sz="6" w:space="0" w:color="auto"/>
                    <w:bottom w:val="single" w:sz="6" w:space="0" w:color="auto"/>
                    <w:right w:val="single" w:sz="6" w:space="0" w:color="auto"/>
                  </w:tcBorders>
                  <w:hideMark/>
                </w:tcPr>
                <w:p w14:paraId="3CDE581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38E5FCD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457.5 + n (0.0125)</w:t>
                  </w:r>
                </w:p>
              </w:tc>
              <w:tc>
                <w:tcPr>
                  <w:tcW w:w="1531" w:type="dxa"/>
                  <w:tcBorders>
                    <w:top w:val="single" w:sz="6" w:space="0" w:color="auto"/>
                    <w:left w:val="single" w:sz="6" w:space="0" w:color="auto"/>
                    <w:bottom w:val="single" w:sz="6" w:space="0" w:color="auto"/>
                    <w:right w:val="single" w:sz="6" w:space="0" w:color="auto"/>
                  </w:tcBorders>
                  <w:hideMark/>
                </w:tcPr>
                <w:p w14:paraId="6A227EF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198</w:t>
                  </w:r>
                </w:p>
              </w:tc>
              <w:tc>
                <w:tcPr>
                  <w:tcW w:w="1701" w:type="dxa"/>
                  <w:tcBorders>
                    <w:top w:val="single" w:sz="6" w:space="0" w:color="auto"/>
                    <w:left w:val="single" w:sz="6" w:space="0" w:color="auto"/>
                    <w:bottom w:val="single" w:sz="6" w:space="0" w:color="auto"/>
                    <w:right w:val="single" w:sz="12" w:space="0" w:color="auto"/>
                  </w:tcBorders>
                  <w:hideMark/>
                </w:tcPr>
                <w:p w14:paraId="486D3A3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457.5125</w:t>
                  </w:r>
                  <w:r>
                    <w:rPr>
                      <w:rFonts w:cs="Arial"/>
                      <w:szCs w:val="20"/>
                      <w:lang w:val="en-GB" w:eastAsia="en-US"/>
                    </w:rPr>
                    <w:br/>
                    <w:t>459.9750</w:t>
                  </w:r>
                </w:p>
              </w:tc>
            </w:tr>
            <w:tr w:rsidR="00AA7E93" w14:paraId="1CF823BC"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2E1323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U</w:t>
                  </w:r>
                </w:p>
              </w:tc>
              <w:tc>
                <w:tcPr>
                  <w:tcW w:w="3120" w:type="dxa"/>
                  <w:tcBorders>
                    <w:top w:val="single" w:sz="6" w:space="0" w:color="auto"/>
                    <w:left w:val="single" w:sz="6" w:space="0" w:color="auto"/>
                    <w:bottom w:val="single" w:sz="6" w:space="0" w:color="auto"/>
                    <w:right w:val="single" w:sz="6" w:space="0" w:color="auto"/>
                  </w:tcBorders>
                  <w:hideMark/>
                </w:tcPr>
                <w:p w14:paraId="7451005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point-to-point</w:t>
                  </w:r>
                  <w:r>
                    <w:rPr>
                      <w:rFonts w:cs="Arial"/>
                      <w:szCs w:val="20"/>
                      <w:lang w:val="en-GB" w:eastAsia="en-US"/>
                    </w:rPr>
                    <w:br/>
                    <w:t>(two frequency)</w:t>
                  </w:r>
                </w:p>
              </w:tc>
              <w:tc>
                <w:tcPr>
                  <w:tcW w:w="1418" w:type="dxa"/>
                  <w:tcBorders>
                    <w:top w:val="single" w:sz="6" w:space="0" w:color="auto"/>
                    <w:left w:val="single" w:sz="6" w:space="0" w:color="auto"/>
                    <w:bottom w:val="single" w:sz="6" w:space="0" w:color="auto"/>
                    <w:right w:val="single" w:sz="6" w:space="0" w:color="auto"/>
                  </w:tcBorders>
                  <w:hideMark/>
                </w:tcPr>
                <w:p w14:paraId="6287BE1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459.9875</w:t>
                  </w:r>
                  <w:r>
                    <w:rPr>
                      <w:rFonts w:cs="Arial"/>
                      <w:szCs w:val="20"/>
                      <w:lang w:val="en-GB" w:eastAsia="en-US"/>
                    </w:rPr>
                    <w:br/>
                    <w:t>461.0125</w:t>
                  </w:r>
                </w:p>
              </w:tc>
              <w:tc>
                <w:tcPr>
                  <w:tcW w:w="1134" w:type="dxa"/>
                  <w:tcBorders>
                    <w:top w:val="single" w:sz="6" w:space="0" w:color="auto"/>
                    <w:left w:val="single" w:sz="6" w:space="0" w:color="auto"/>
                    <w:bottom w:val="single" w:sz="6" w:space="0" w:color="auto"/>
                    <w:right w:val="single" w:sz="6" w:space="0" w:color="auto"/>
                  </w:tcBorders>
                  <w:hideMark/>
                </w:tcPr>
                <w:p w14:paraId="0C9424C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Q</w:t>
                  </w:r>
                </w:p>
              </w:tc>
              <w:tc>
                <w:tcPr>
                  <w:tcW w:w="1187" w:type="dxa"/>
                  <w:tcBorders>
                    <w:top w:val="single" w:sz="6" w:space="0" w:color="auto"/>
                    <w:left w:val="single" w:sz="6" w:space="0" w:color="auto"/>
                    <w:bottom w:val="single" w:sz="6" w:space="0" w:color="auto"/>
                    <w:right w:val="single" w:sz="6" w:space="0" w:color="auto"/>
                  </w:tcBorders>
                  <w:hideMark/>
                </w:tcPr>
                <w:p w14:paraId="2A54283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997566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459.98125 + n (0.0125)</w:t>
                  </w:r>
                </w:p>
              </w:tc>
              <w:tc>
                <w:tcPr>
                  <w:tcW w:w="1531" w:type="dxa"/>
                  <w:tcBorders>
                    <w:top w:val="single" w:sz="6" w:space="0" w:color="auto"/>
                    <w:left w:val="single" w:sz="6" w:space="0" w:color="auto"/>
                    <w:bottom w:val="single" w:sz="6" w:space="0" w:color="auto"/>
                    <w:right w:val="single" w:sz="6" w:space="0" w:color="auto"/>
                  </w:tcBorders>
                  <w:hideMark/>
                </w:tcPr>
                <w:p w14:paraId="3DDA0BB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82</w:t>
                  </w:r>
                </w:p>
              </w:tc>
              <w:tc>
                <w:tcPr>
                  <w:tcW w:w="1701" w:type="dxa"/>
                  <w:tcBorders>
                    <w:top w:val="single" w:sz="6" w:space="0" w:color="auto"/>
                    <w:left w:val="single" w:sz="6" w:space="0" w:color="auto"/>
                    <w:bottom w:val="single" w:sz="6" w:space="0" w:color="auto"/>
                    <w:right w:val="single" w:sz="12" w:space="0" w:color="auto"/>
                  </w:tcBorders>
                  <w:hideMark/>
                </w:tcPr>
                <w:p w14:paraId="70FFB60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459.99375</w:t>
                  </w:r>
                  <w:r>
                    <w:rPr>
                      <w:rFonts w:cs="Arial"/>
                      <w:szCs w:val="20"/>
                      <w:lang w:val="en-GB" w:eastAsia="en-US"/>
                    </w:rPr>
                    <w:br/>
                    <w:t>461.00625</w:t>
                  </w:r>
                </w:p>
              </w:tc>
            </w:tr>
            <w:tr w:rsidR="00AA7E93" w14:paraId="1DA1F781"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767FA57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V</w:t>
                  </w:r>
                </w:p>
              </w:tc>
              <w:tc>
                <w:tcPr>
                  <w:tcW w:w="3120" w:type="dxa"/>
                  <w:tcBorders>
                    <w:top w:val="single" w:sz="6" w:space="0" w:color="auto"/>
                    <w:left w:val="single" w:sz="6" w:space="0" w:color="auto"/>
                    <w:bottom w:val="single" w:sz="6" w:space="0" w:color="auto"/>
                    <w:right w:val="single" w:sz="6" w:space="0" w:color="auto"/>
                  </w:tcBorders>
                  <w:hideMark/>
                </w:tcPr>
                <w:p w14:paraId="19FB624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Fixed point-to-multipoint</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5BF52F0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461.0125</w:t>
                  </w:r>
                  <w:r>
                    <w:rPr>
                      <w:rFonts w:cs="Arial"/>
                      <w:szCs w:val="20"/>
                      <w:lang w:val="en-GB" w:eastAsia="en-US"/>
                    </w:rPr>
                    <w:br/>
                    <w:t>462.0000</w:t>
                  </w:r>
                </w:p>
              </w:tc>
              <w:tc>
                <w:tcPr>
                  <w:tcW w:w="1134" w:type="dxa"/>
                  <w:tcBorders>
                    <w:top w:val="single" w:sz="6" w:space="0" w:color="auto"/>
                    <w:left w:val="single" w:sz="6" w:space="0" w:color="auto"/>
                    <w:bottom w:val="single" w:sz="6" w:space="0" w:color="auto"/>
                    <w:right w:val="single" w:sz="6" w:space="0" w:color="auto"/>
                  </w:tcBorders>
                  <w:hideMark/>
                </w:tcPr>
                <w:p w14:paraId="681B04F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R</w:t>
                  </w:r>
                </w:p>
              </w:tc>
              <w:tc>
                <w:tcPr>
                  <w:tcW w:w="1187" w:type="dxa"/>
                  <w:tcBorders>
                    <w:top w:val="single" w:sz="6" w:space="0" w:color="auto"/>
                    <w:left w:val="single" w:sz="6" w:space="0" w:color="auto"/>
                    <w:bottom w:val="single" w:sz="6" w:space="0" w:color="auto"/>
                    <w:right w:val="single" w:sz="6" w:space="0" w:color="auto"/>
                  </w:tcBorders>
                  <w:hideMark/>
                </w:tcPr>
                <w:p w14:paraId="6F99C87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9ABCC6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461.00625 + n (0.0125)</w:t>
                  </w:r>
                </w:p>
              </w:tc>
              <w:tc>
                <w:tcPr>
                  <w:tcW w:w="1531" w:type="dxa"/>
                  <w:tcBorders>
                    <w:top w:val="single" w:sz="6" w:space="0" w:color="auto"/>
                    <w:left w:val="single" w:sz="6" w:space="0" w:color="auto"/>
                    <w:bottom w:val="single" w:sz="6" w:space="0" w:color="auto"/>
                    <w:right w:val="single" w:sz="6" w:space="0" w:color="auto"/>
                  </w:tcBorders>
                  <w:hideMark/>
                </w:tcPr>
                <w:p w14:paraId="4ECC6E9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79</w:t>
                  </w:r>
                </w:p>
              </w:tc>
              <w:tc>
                <w:tcPr>
                  <w:tcW w:w="1701" w:type="dxa"/>
                  <w:tcBorders>
                    <w:top w:val="single" w:sz="6" w:space="0" w:color="auto"/>
                    <w:left w:val="single" w:sz="6" w:space="0" w:color="auto"/>
                    <w:bottom w:val="single" w:sz="6" w:space="0" w:color="auto"/>
                    <w:right w:val="single" w:sz="12" w:space="0" w:color="auto"/>
                  </w:tcBorders>
                  <w:hideMark/>
                </w:tcPr>
                <w:p w14:paraId="13BB907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461.01875</w:t>
                  </w:r>
                  <w:r>
                    <w:rPr>
                      <w:rFonts w:cs="Arial"/>
                      <w:szCs w:val="20"/>
                      <w:lang w:val="en-GB" w:eastAsia="en-US"/>
                    </w:rPr>
                    <w:br/>
                    <w:t>461.99375</w:t>
                  </w:r>
                </w:p>
              </w:tc>
            </w:tr>
            <w:tr w:rsidR="00AA7E93" w14:paraId="2941B91F"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9A0D44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w:t>
                  </w:r>
                </w:p>
              </w:tc>
              <w:tc>
                <w:tcPr>
                  <w:tcW w:w="3120" w:type="dxa"/>
                  <w:tcBorders>
                    <w:top w:val="single" w:sz="6" w:space="0" w:color="auto"/>
                    <w:left w:val="single" w:sz="6" w:space="0" w:color="auto"/>
                    <w:bottom w:val="single" w:sz="6" w:space="0" w:color="auto"/>
                    <w:right w:val="single" w:sz="6" w:space="0" w:color="auto"/>
                  </w:tcBorders>
                  <w:hideMark/>
                </w:tcPr>
                <w:p w14:paraId="59FC550C" w14:textId="77777777" w:rsidR="00AA7E93" w:rsidRDefault="00AA7E93">
                  <w:pPr>
                    <w:widowControl w:val="0"/>
                    <w:spacing w:before="4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4057A279" w14:textId="77777777" w:rsidR="00AA7E93" w:rsidRDefault="00AA7E93">
                  <w:pPr>
                    <w:widowControl w:val="0"/>
                    <w:spacing w:before="40" w:line="240" w:lineRule="auto"/>
                    <w:ind w:right="-23"/>
                    <w:rPr>
                      <w:rFonts w:cs="Arial"/>
                      <w:szCs w:val="20"/>
                      <w:lang w:val="en-GB" w:eastAsia="en-US"/>
                    </w:rPr>
                  </w:pPr>
                  <w:r>
                    <w:rPr>
                      <w:rFonts w:cs="Arial"/>
                      <w:szCs w:val="20"/>
                      <w:lang w:val="en-GB" w:eastAsia="en-US"/>
                    </w:rPr>
                    <w:t>462.0000</w:t>
                  </w:r>
                </w:p>
                <w:p w14:paraId="7D00D21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462.50625</w:t>
                  </w:r>
                </w:p>
              </w:tc>
              <w:tc>
                <w:tcPr>
                  <w:tcW w:w="1134" w:type="dxa"/>
                  <w:tcBorders>
                    <w:top w:val="single" w:sz="6" w:space="0" w:color="auto"/>
                    <w:left w:val="single" w:sz="6" w:space="0" w:color="auto"/>
                    <w:bottom w:val="single" w:sz="6" w:space="0" w:color="auto"/>
                    <w:right w:val="single" w:sz="6" w:space="0" w:color="auto"/>
                  </w:tcBorders>
                  <w:hideMark/>
                </w:tcPr>
                <w:p w14:paraId="2389EB1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7D0DC17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3C44E8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462.0 + n (0.0125)</w:t>
                  </w:r>
                </w:p>
              </w:tc>
              <w:tc>
                <w:tcPr>
                  <w:tcW w:w="1531" w:type="dxa"/>
                  <w:tcBorders>
                    <w:top w:val="single" w:sz="6" w:space="0" w:color="auto"/>
                    <w:left w:val="single" w:sz="6" w:space="0" w:color="auto"/>
                    <w:bottom w:val="single" w:sz="6" w:space="0" w:color="auto"/>
                    <w:right w:val="single" w:sz="6" w:space="0" w:color="auto"/>
                  </w:tcBorders>
                  <w:hideMark/>
                </w:tcPr>
                <w:p w14:paraId="6D051F0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40</w:t>
                  </w:r>
                </w:p>
              </w:tc>
              <w:tc>
                <w:tcPr>
                  <w:tcW w:w="1701" w:type="dxa"/>
                  <w:tcBorders>
                    <w:top w:val="single" w:sz="6" w:space="0" w:color="auto"/>
                    <w:left w:val="single" w:sz="6" w:space="0" w:color="auto"/>
                    <w:bottom w:val="single" w:sz="6" w:space="0" w:color="auto"/>
                    <w:right w:val="single" w:sz="12" w:space="0" w:color="auto"/>
                  </w:tcBorders>
                  <w:hideMark/>
                </w:tcPr>
                <w:p w14:paraId="788534A6" w14:textId="77777777" w:rsidR="00AA7E93" w:rsidRDefault="00AA7E93">
                  <w:pPr>
                    <w:widowControl w:val="0"/>
                    <w:spacing w:before="40" w:line="240" w:lineRule="auto"/>
                    <w:ind w:right="-23"/>
                    <w:rPr>
                      <w:rFonts w:cs="Arial"/>
                      <w:szCs w:val="20"/>
                      <w:lang w:val="en-GB" w:eastAsia="en-US"/>
                    </w:rPr>
                  </w:pPr>
                  <w:r>
                    <w:rPr>
                      <w:rFonts w:cs="Arial"/>
                      <w:szCs w:val="20"/>
                      <w:lang w:val="en-GB" w:eastAsia="en-US"/>
                    </w:rPr>
                    <w:t>462.0125</w:t>
                  </w:r>
                  <w:r>
                    <w:rPr>
                      <w:rFonts w:cs="Arial"/>
                      <w:szCs w:val="20"/>
                      <w:lang w:val="en-GB" w:eastAsia="en-US"/>
                    </w:rPr>
                    <w:br/>
                    <w:t>462.5000</w:t>
                  </w:r>
                </w:p>
              </w:tc>
            </w:tr>
            <w:tr w:rsidR="00AA7E93" w14:paraId="2989825B"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596794A1" w14:textId="77777777" w:rsidR="00AA7E93" w:rsidRDefault="00AA7E93">
                  <w:pPr>
                    <w:widowControl w:val="0"/>
                    <w:spacing w:before="40" w:after="120" w:line="240" w:lineRule="auto"/>
                    <w:ind w:right="-23"/>
                    <w:jc w:val="center"/>
                    <w:rPr>
                      <w:rFonts w:cs="Arial"/>
                      <w:szCs w:val="20"/>
                      <w:lang w:val="en-GB" w:eastAsia="en-US"/>
                    </w:rPr>
                  </w:pPr>
                  <w:bookmarkStart w:id="26" w:name="_Hlk269739003"/>
                  <w:r>
                    <w:rPr>
                      <w:rFonts w:cs="Arial"/>
                      <w:szCs w:val="20"/>
                      <w:lang w:val="en-GB" w:eastAsia="en-US"/>
                    </w:rPr>
                    <w:t>X</w:t>
                  </w:r>
                </w:p>
              </w:tc>
              <w:tc>
                <w:tcPr>
                  <w:tcW w:w="3120" w:type="dxa"/>
                  <w:tcBorders>
                    <w:top w:val="single" w:sz="6" w:space="0" w:color="auto"/>
                    <w:left w:val="single" w:sz="6" w:space="0" w:color="auto"/>
                    <w:bottom w:val="single" w:sz="6" w:space="0" w:color="auto"/>
                    <w:right w:val="single" w:sz="6" w:space="0" w:color="auto"/>
                  </w:tcBorders>
                  <w:hideMark/>
                </w:tcPr>
                <w:p w14:paraId="75BDD16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 xml:space="preserve">Land mobile service </w:t>
                  </w:r>
                  <w:r>
                    <w:rPr>
                      <w:rFonts w:cs="Arial"/>
                      <w:szCs w:val="20"/>
                      <w:lang w:val="en-GB" w:eastAsia="en-US"/>
                    </w:rPr>
                    <w:br/>
                    <w:t>(two frequency, base transmit) (see note 2)</w:t>
                  </w:r>
                </w:p>
              </w:tc>
              <w:tc>
                <w:tcPr>
                  <w:tcW w:w="1418" w:type="dxa"/>
                  <w:tcBorders>
                    <w:top w:val="single" w:sz="6" w:space="0" w:color="auto"/>
                    <w:left w:val="single" w:sz="6" w:space="0" w:color="auto"/>
                    <w:bottom w:val="single" w:sz="6" w:space="0" w:color="auto"/>
                    <w:right w:val="single" w:sz="6" w:space="0" w:color="auto"/>
                  </w:tcBorders>
                  <w:hideMark/>
                </w:tcPr>
                <w:p w14:paraId="0E186D3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462.50625</w:t>
                  </w:r>
                  <w:r>
                    <w:rPr>
                      <w:rFonts w:cs="Arial"/>
                      <w:szCs w:val="20"/>
                      <w:lang w:val="en-GB" w:eastAsia="en-US"/>
                    </w:rPr>
                    <w:br/>
                    <w:t>467.50625</w:t>
                  </w:r>
                </w:p>
              </w:tc>
              <w:tc>
                <w:tcPr>
                  <w:tcW w:w="1134" w:type="dxa"/>
                  <w:tcBorders>
                    <w:top w:val="single" w:sz="6" w:space="0" w:color="auto"/>
                    <w:left w:val="single" w:sz="6" w:space="0" w:color="auto"/>
                    <w:bottom w:val="single" w:sz="6" w:space="0" w:color="auto"/>
                    <w:right w:val="single" w:sz="6" w:space="0" w:color="auto"/>
                  </w:tcBorders>
                  <w:hideMark/>
                </w:tcPr>
                <w:p w14:paraId="5A227B0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w:t>
                  </w:r>
                </w:p>
              </w:tc>
              <w:tc>
                <w:tcPr>
                  <w:tcW w:w="1187" w:type="dxa"/>
                  <w:tcBorders>
                    <w:top w:val="single" w:sz="6" w:space="0" w:color="auto"/>
                    <w:left w:val="single" w:sz="6" w:space="0" w:color="auto"/>
                    <w:bottom w:val="single" w:sz="6" w:space="0" w:color="auto"/>
                    <w:right w:val="single" w:sz="6" w:space="0" w:color="auto"/>
                  </w:tcBorders>
                  <w:hideMark/>
                </w:tcPr>
                <w:p w14:paraId="77D656D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4CD6E4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462.5 + n (0.0125)</w:t>
                  </w:r>
                </w:p>
              </w:tc>
              <w:tc>
                <w:tcPr>
                  <w:tcW w:w="1531" w:type="dxa"/>
                  <w:tcBorders>
                    <w:top w:val="single" w:sz="6" w:space="0" w:color="auto"/>
                    <w:left w:val="single" w:sz="6" w:space="0" w:color="auto"/>
                    <w:bottom w:val="single" w:sz="6" w:space="0" w:color="auto"/>
                    <w:right w:val="single" w:sz="6" w:space="0" w:color="auto"/>
                  </w:tcBorders>
                  <w:hideMark/>
                </w:tcPr>
                <w:p w14:paraId="080BCE3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400</w:t>
                  </w:r>
                </w:p>
              </w:tc>
              <w:tc>
                <w:tcPr>
                  <w:tcW w:w="1701" w:type="dxa"/>
                  <w:tcBorders>
                    <w:top w:val="single" w:sz="6" w:space="0" w:color="auto"/>
                    <w:left w:val="single" w:sz="6" w:space="0" w:color="auto"/>
                    <w:bottom w:val="single" w:sz="6" w:space="0" w:color="auto"/>
                    <w:right w:val="single" w:sz="12" w:space="0" w:color="auto"/>
                  </w:tcBorders>
                  <w:hideMark/>
                </w:tcPr>
                <w:p w14:paraId="47F1FD2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462.5125</w:t>
                  </w:r>
                  <w:r>
                    <w:rPr>
                      <w:rFonts w:cs="Arial"/>
                      <w:szCs w:val="20"/>
                      <w:lang w:val="en-GB" w:eastAsia="en-US"/>
                    </w:rPr>
                    <w:br/>
                    <w:t>467.5000</w:t>
                  </w:r>
                </w:p>
              </w:tc>
            </w:tr>
            <w:tr w:rsidR="00AA7E93" w14:paraId="645C7243"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B5AB7F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Y</w:t>
                  </w:r>
                </w:p>
              </w:tc>
              <w:tc>
                <w:tcPr>
                  <w:tcW w:w="3120" w:type="dxa"/>
                  <w:tcBorders>
                    <w:top w:val="single" w:sz="6" w:space="0" w:color="auto"/>
                    <w:left w:val="single" w:sz="6" w:space="0" w:color="auto"/>
                    <w:bottom w:val="single" w:sz="6" w:space="0" w:color="auto"/>
                    <w:right w:val="single" w:sz="6" w:space="0" w:color="auto"/>
                  </w:tcBorders>
                  <w:hideMark/>
                </w:tcPr>
                <w:p w14:paraId="024FA56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 xml:space="preserve">Land mobile service </w:t>
                  </w:r>
                  <w:r>
                    <w:rPr>
                      <w:rFonts w:cs="Arial"/>
                      <w:szCs w:val="20"/>
                      <w:lang w:val="en-GB" w:eastAsia="en-US"/>
                    </w:rPr>
                    <w:br/>
                    <w:t>(two frequency, base transmit)</w:t>
                  </w:r>
                  <w:r>
                    <w:rPr>
                      <w:rFonts w:cs="Arial"/>
                      <w:szCs w:val="20"/>
                      <w:lang w:val="en-GB" w:eastAsia="en-US"/>
                    </w:rPr>
                    <w:br/>
                    <w:t>(see notes 4 and 7)</w:t>
                  </w:r>
                </w:p>
              </w:tc>
              <w:tc>
                <w:tcPr>
                  <w:tcW w:w="1418" w:type="dxa"/>
                  <w:tcBorders>
                    <w:top w:val="single" w:sz="6" w:space="0" w:color="auto"/>
                    <w:left w:val="single" w:sz="6" w:space="0" w:color="auto"/>
                    <w:bottom w:val="single" w:sz="6" w:space="0" w:color="auto"/>
                    <w:right w:val="single" w:sz="6" w:space="0" w:color="auto"/>
                  </w:tcBorders>
                  <w:hideMark/>
                </w:tcPr>
                <w:p w14:paraId="4489BFE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467.50625</w:t>
                  </w:r>
                  <w:r>
                    <w:rPr>
                      <w:rFonts w:cs="Arial"/>
                      <w:szCs w:val="20"/>
                      <w:lang w:val="en-GB" w:eastAsia="en-US"/>
                    </w:rPr>
                    <w:br/>
                    <w:t>469.9875</w:t>
                  </w:r>
                </w:p>
              </w:tc>
              <w:tc>
                <w:tcPr>
                  <w:tcW w:w="1134" w:type="dxa"/>
                  <w:tcBorders>
                    <w:top w:val="single" w:sz="6" w:space="0" w:color="auto"/>
                    <w:left w:val="single" w:sz="6" w:space="0" w:color="auto"/>
                    <w:bottom w:val="single" w:sz="6" w:space="0" w:color="auto"/>
                    <w:right w:val="single" w:sz="6" w:space="0" w:color="auto"/>
                  </w:tcBorders>
                  <w:hideMark/>
                </w:tcPr>
                <w:p w14:paraId="7394E0E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T</w:t>
                  </w:r>
                </w:p>
              </w:tc>
              <w:tc>
                <w:tcPr>
                  <w:tcW w:w="1187" w:type="dxa"/>
                  <w:tcBorders>
                    <w:top w:val="single" w:sz="6" w:space="0" w:color="auto"/>
                    <w:left w:val="single" w:sz="6" w:space="0" w:color="auto"/>
                    <w:bottom w:val="single" w:sz="6" w:space="0" w:color="auto"/>
                    <w:right w:val="single" w:sz="6" w:space="0" w:color="auto"/>
                  </w:tcBorders>
                  <w:hideMark/>
                </w:tcPr>
                <w:p w14:paraId="318608A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E0650E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467.5 + n (0.0125)</w:t>
                  </w:r>
                </w:p>
              </w:tc>
              <w:tc>
                <w:tcPr>
                  <w:tcW w:w="1531" w:type="dxa"/>
                  <w:tcBorders>
                    <w:top w:val="single" w:sz="6" w:space="0" w:color="auto"/>
                    <w:left w:val="single" w:sz="6" w:space="0" w:color="auto"/>
                    <w:bottom w:val="single" w:sz="6" w:space="0" w:color="auto"/>
                    <w:right w:val="single" w:sz="6" w:space="0" w:color="auto"/>
                  </w:tcBorders>
                  <w:hideMark/>
                </w:tcPr>
                <w:p w14:paraId="535B434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198</w:t>
                  </w:r>
                </w:p>
              </w:tc>
              <w:tc>
                <w:tcPr>
                  <w:tcW w:w="1701" w:type="dxa"/>
                  <w:tcBorders>
                    <w:top w:val="single" w:sz="6" w:space="0" w:color="auto"/>
                    <w:left w:val="single" w:sz="6" w:space="0" w:color="auto"/>
                    <w:bottom w:val="single" w:sz="6" w:space="0" w:color="auto"/>
                    <w:right w:val="single" w:sz="12" w:space="0" w:color="auto"/>
                  </w:tcBorders>
                  <w:hideMark/>
                </w:tcPr>
                <w:p w14:paraId="6F31CB9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467.5125</w:t>
                  </w:r>
                  <w:r>
                    <w:rPr>
                      <w:rFonts w:cs="Arial"/>
                      <w:szCs w:val="20"/>
                      <w:lang w:val="en-GB" w:eastAsia="en-US"/>
                    </w:rPr>
                    <w:br/>
                    <w:t>469.9750</w:t>
                  </w:r>
                </w:p>
              </w:tc>
              <w:bookmarkEnd w:id="26"/>
            </w:tr>
            <w:tr w:rsidR="00AA7E93" w14:paraId="7C30B3EA"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99871D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Z</w:t>
                  </w:r>
                </w:p>
              </w:tc>
              <w:tc>
                <w:tcPr>
                  <w:tcW w:w="3120" w:type="dxa"/>
                  <w:tcBorders>
                    <w:top w:val="single" w:sz="6" w:space="0" w:color="auto"/>
                    <w:left w:val="single" w:sz="6" w:space="0" w:color="auto"/>
                    <w:bottom w:val="single" w:sz="6" w:space="0" w:color="auto"/>
                    <w:right w:val="single" w:sz="6" w:space="0" w:color="auto"/>
                  </w:tcBorders>
                  <w:hideMark/>
                </w:tcPr>
                <w:p w14:paraId="78544ED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5560C8F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469.9875</w:t>
                  </w:r>
                  <w:r>
                    <w:rPr>
                      <w:rFonts w:cs="Arial"/>
                      <w:szCs w:val="20"/>
                      <w:lang w:val="en-GB" w:eastAsia="en-US"/>
                    </w:rPr>
                    <w:br/>
                    <w:t>471.21875</w:t>
                  </w:r>
                </w:p>
              </w:tc>
              <w:tc>
                <w:tcPr>
                  <w:tcW w:w="1134" w:type="dxa"/>
                  <w:tcBorders>
                    <w:top w:val="single" w:sz="6" w:space="0" w:color="auto"/>
                    <w:left w:val="single" w:sz="6" w:space="0" w:color="auto"/>
                    <w:bottom w:val="single" w:sz="6" w:space="0" w:color="auto"/>
                    <w:right w:val="single" w:sz="6" w:space="0" w:color="auto"/>
                  </w:tcBorders>
                  <w:hideMark/>
                </w:tcPr>
                <w:p w14:paraId="7D09D31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DD</w:t>
                  </w:r>
                </w:p>
              </w:tc>
              <w:tc>
                <w:tcPr>
                  <w:tcW w:w="1187" w:type="dxa"/>
                  <w:tcBorders>
                    <w:top w:val="single" w:sz="6" w:space="0" w:color="auto"/>
                    <w:left w:val="single" w:sz="6" w:space="0" w:color="auto"/>
                    <w:bottom w:val="single" w:sz="6" w:space="0" w:color="auto"/>
                    <w:right w:val="single" w:sz="6" w:space="0" w:color="auto"/>
                  </w:tcBorders>
                  <w:hideMark/>
                </w:tcPr>
                <w:p w14:paraId="7CF3F7C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3674EEF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469.9875 + n (0.0125)</w:t>
                  </w:r>
                </w:p>
              </w:tc>
              <w:tc>
                <w:tcPr>
                  <w:tcW w:w="1531" w:type="dxa"/>
                  <w:tcBorders>
                    <w:top w:val="single" w:sz="6" w:space="0" w:color="auto"/>
                    <w:left w:val="single" w:sz="6" w:space="0" w:color="auto"/>
                    <w:bottom w:val="single" w:sz="6" w:space="0" w:color="auto"/>
                    <w:right w:val="single" w:sz="6" w:space="0" w:color="auto"/>
                  </w:tcBorders>
                  <w:hideMark/>
                </w:tcPr>
                <w:p w14:paraId="3EFFA48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97</w:t>
                  </w:r>
                </w:p>
              </w:tc>
              <w:tc>
                <w:tcPr>
                  <w:tcW w:w="1701" w:type="dxa"/>
                  <w:tcBorders>
                    <w:top w:val="single" w:sz="6" w:space="0" w:color="auto"/>
                    <w:left w:val="single" w:sz="6" w:space="0" w:color="auto"/>
                    <w:bottom w:val="single" w:sz="6" w:space="0" w:color="auto"/>
                    <w:right w:val="single" w:sz="12" w:space="0" w:color="auto"/>
                  </w:tcBorders>
                  <w:hideMark/>
                </w:tcPr>
                <w:p w14:paraId="705807D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470.0000</w:t>
                  </w:r>
                  <w:r>
                    <w:rPr>
                      <w:rFonts w:cs="Arial"/>
                      <w:szCs w:val="20"/>
                      <w:lang w:val="en-GB" w:eastAsia="en-US"/>
                    </w:rPr>
                    <w:br/>
                    <w:t>471.2000</w:t>
                  </w:r>
                </w:p>
              </w:tc>
            </w:tr>
            <w:tr w:rsidR="00AA7E93" w14:paraId="5BB8EB30"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737313D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AA</w:t>
                  </w:r>
                </w:p>
              </w:tc>
              <w:tc>
                <w:tcPr>
                  <w:tcW w:w="3120" w:type="dxa"/>
                  <w:tcBorders>
                    <w:top w:val="single" w:sz="6" w:space="0" w:color="auto"/>
                    <w:left w:val="single" w:sz="6" w:space="0" w:color="auto"/>
                    <w:bottom w:val="single" w:sz="6" w:space="0" w:color="auto"/>
                    <w:right w:val="single" w:sz="6" w:space="0" w:color="auto"/>
                  </w:tcBorders>
                  <w:hideMark/>
                </w:tcPr>
                <w:p w14:paraId="20CDE8D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166B4F9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471.21875</w:t>
                  </w:r>
                  <w:r>
                    <w:rPr>
                      <w:rFonts w:cs="Arial"/>
                      <w:szCs w:val="20"/>
                      <w:lang w:val="en-GB" w:eastAsia="en-US"/>
                    </w:rPr>
                    <w:br/>
                    <w:t>472.21875</w:t>
                  </w:r>
                </w:p>
              </w:tc>
              <w:tc>
                <w:tcPr>
                  <w:tcW w:w="1134" w:type="dxa"/>
                  <w:tcBorders>
                    <w:top w:val="single" w:sz="6" w:space="0" w:color="auto"/>
                    <w:left w:val="single" w:sz="6" w:space="0" w:color="auto"/>
                    <w:bottom w:val="single" w:sz="6" w:space="0" w:color="auto"/>
                    <w:right w:val="single" w:sz="6" w:space="0" w:color="auto"/>
                  </w:tcBorders>
                  <w:hideMark/>
                </w:tcPr>
                <w:p w14:paraId="2DD802A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52EABB7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227060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471.2125 + n (0.0125)</w:t>
                  </w:r>
                </w:p>
              </w:tc>
              <w:tc>
                <w:tcPr>
                  <w:tcW w:w="1531" w:type="dxa"/>
                  <w:tcBorders>
                    <w:top w:val="single" w:sz="6" w:space="0" w:color="auto"/>
                    <w:left w:val="single" w:sz="6" w:space="0" w:color="auto"/>
                    <w:bottom w:val="single" w:sz="6" w:space="0" w:color="auto"/>
                    <w:right w:val="single" w:sz="6" w:space="0" w:color="auto"/>
                  </w:tcBorders>
                  <w:hideMark/>
                </w:tcPr>
                <w:p w14:paraId="7E1DD6D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80</w:t>
                  </w:r>
                </w:p>
              </w:tc>
              <w:tc>
                <w:tcPr>
                  <w:tcW w:w="1701" w:type="dxa"/>
                  <w:tcBorders>
                    <w:top w:val="single" w:sz="6" w:space="0" w:color="auto"/>
                    <w:left w:val="single" w:sz="6" w:space="0" w:color="auto"/>
                    <w:bottom w:val="single" w:sz="6" w:space="0" w:color="auto"/>
                    <w:right w:val="single" w:sz="12" w:space="0" w:color="auto"/>
                  </w:tcBorders>
                  <w:hideMark/>
                </w:tcPr>
                <w:p w14:paraId="59C7A95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471.2250</w:t>
                  </w:r>
                  <w:r>
                    <w:rPr>
                      <w:rFonts w:cs="Arial"/>
                      <w:szCs w:val="20"/>
                      <w:lang w:val="en-GB" w:eastAsia="en-US"/>
                    </w:rPr>
                    <w:br/>
                    <w:t>472.2125</w:t>
                  </w:r>
                </w:p>
              </w:tc>
            </w:tr>
            <w:tr w:rsidR="00AA7E93" w14:paraId="735E3CE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023763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BB</w:t>
                  </w:r>
                </w:p>
              </w:tc>
              <w:tc>
                <w:tcPr>
                  <w:tcW w:w="3120" w:type="dxa"/>
                  <w:tcBorders>
                    <w:top w:val="single" w:sz="6" w:space="0" w:color="auto"/>
                    <w:left w:val="single" w:sz="6" w:space="0" w:color="auto"/>
                    <w:bottom w:val="single" w:sz="6" w:space="0" w:color="auto"/>
                    <w:right w:val="single" w:sz="6" w:space="0" w:color="auto"/>
                  </w:tcBorders>
                  <w:hideMark/>
                </w:tcPr>
                <w:p w14:paraId="4B7A02E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22CE2E3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472.21875</w:t>
                  </w:r>
                  <w:r>
                    <w:rPr>
                      <w:rFonts w:cs="Arial"/>
                      <w:szCs w:val="20"/>
                      <w:lang w:val="en-GB" w:eastAsia="en-US"/>
                    </w:rPr>
                    <w:br/>
                    <w:t>474.79375</w:t>
                  </w:r>
                </w:p>
              </w:tc>
              <w:tc>
                <w:tcPr>
                  <w:tcW w:w="1134" w:type="dxa"/>
                  <w:tcBorders>
                    <w:top w:val="single" w:sz="6" w:space="0" w:color="auto"/>
                    <w:left w:val="single" w:sz="6" w:space="0" w:color="auto"/>
                    <w:bottom w:val="single" w:sz="6" w:space="0" w:color="auto"/>
                    <w:right w:val="single" w:sz="6" w:space="0" w:color="auto"/>
                  </w:tcBorders>
                  <w:hideMark/>
                </w:tcPr>
                <w:p w14:paraId="5AD0973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FF</w:t>
                  </w:r>
                </w:p>
              </w:tc>
              <w:tc>
                <w:tcPr>
                  <w:tcW w:w="1187" w:type="dxa"/>
                  <w:tcBorders>
                    <w:top w:val="single" w:sz="6" w:space="0" w:color="auto"/>
                    <w:left w:val="single" w:sz="6" w:space="0" w:color="auto"/>
                    <w:bottom w:val="single" w:sz="6" w:space="0" w:color="auto"/>
                    <w:right w:val="single" w:sz="6" w:space="0" w:color="auto"/>
                  </w:tcBorders>
                  <w:hideMark/>
                </w:tcPr>
                <w:p w14:paraId="0F46675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AF70AD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472.2125 + n (0.0125)</w:t>
                  </w:r>
                </w:p>
              </w:tc>
              <w:tc>
                <w:tcPr>
                  <w:tcW w:w="1531" w:type="dxa"/>
                  <w:tcBorders>
                    <w:top w:val="single" w:sz="6" w:space="0" w:color="auto"/>
                    <w:left w:val="single" w:sz="6" w:space="0" w:color="auto"/>
                    <w:bottom w:val="single" w:sz="6" w:space="0" w:color="auto"/>
                    <w:right w:val="single" w:sz="6" w:space="0" w:color="auto"/>
                  </w:tcBorders>
                  <w:hideMark/>
                </w:tcPr>
                <w:p w14:paraId="126871B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206</w:t>
                  </w:r>
                </w:p>
              </w:tc>
              <w:tc>
                <w:tcPr>
                  <w:tcW w:w="1701" w:type="dxa"/>
                  <w:tcBorders>
                    <w:top w:val="single" w:sz="6" w:space="0" w:color="auto"/>
                    <w:left w:val="single" w:sz="6" w:space="0" w:color="auto"/>
                    <w:bottom w:val="single" w:sz="6" w:space="0" w:color="auto"/>
                    <w:right w:val="single" w:sz="12" w:space="0" w:color="auto"/>
                  </w:tcBorders>
                  <w:hideMark/>
                </w:tcPr>
                <w:p w14:paraId="4BE0350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472.2250</w:t>
                  </w:r>
                  <w:r>
                    <w:rPr>
                      <w:rFonts w:cs="Arial"/>
                      <w:szCs w:val="20"/>
                      <w:lang w:val="en-GB" w:eastAsia="en-US"/>
                    </w:rPr>
                    <w:br/>
                    <w:t>474.7875</w:t>
                  </w:r>
                </w:p>
              </w:tc>
            </w:tr>
            <w:tr w:rsidR="00AA7E93" w14:paraId="38E126E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015460F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lastRenderedPageBreak/>
                    <w:t>CC</w:t>
                  </w:r>
                </w:p>
              </w:tc>
              <w:tc>
                <w:tcPr>
                  <w:tcW w:w="3120" w:type="dxa"/>
                  <w:tcBorders>
                    <w:top w:val="single" w:sz="6" w:space="0" w:color="auto"/>
                    <w:left w:val="single" w:sz="6" w:space="0" w:color="auto"/>
                    <w:bottom w:val="single" w:sz="6" w:space="0" w:color="auto"/>
                    <w:right w:val="single" w:sz="6" w:space="0" w:color="auto"/>
                  </w:tcBorders>
                  <w:hideMark/>
                </w:tcPr>
                <w:p w14:paraId="1D178F0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 xml:space="preserve">Land mobile service </w:t>
                  </w:r>
                  <w:r>
                    <w:rPr>
                      <w:rFonts w:cs="Arial"/>
                      <w:szCs w:val="20"/>
                      <w:lang w:val="en-GB" w:eastAsia="en-US"/>
                    </w:rPr>
                    <w:br/>
                    <w:t xml:space="preserve">(single frequency) </w:t>
                  </w:r>
                  <w:r>
                    <w:rPr>
                      <w:rFonts w:cs="Arial"/>
                      <w:szCs w:val="20"/>
                      <w:lang w:val="en-GB" w:eastAsia="en-US"/>
                    </w:rPr>
                    <w:br/>
                    <w:t xml:space="preserve">(see notes 1 and 5) </w:t>
                  </w:r>
                </w:p>
              </w:tc>
              <w:tc>
                <w:tcPr>
                  <w:tcW w:w="1418" w:type="dxa"/>
                  <w:tcBorders>
                    <w:top w:val="single" w:sz="6" w:space="0" w:color="auto"/>
                    <w:left w:val="single" w:sz="6" w:space="0" w:color="auto"/>
                    <w:bottom w:val="single" w:sz="6" w:space="0" w:color="auto"/>
                    <w:right w:val="single" w:sz="6" w:space="0" w:color="auto"/>
                  </w:tcBorders>
                  <w:hideMark/>
                </w:tcPr>
                <w:p w14:paraId="2BD625E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474.79375</w:t>
                  </w:r>
                  <w:r>
                    <w:rPr>
                      <w:rFonts w:cs="Arial"/>
                      <w:szCs w:val="20"/>
                      <w:lang w:val="en-GB" w:eastAsia="en-US"/>
                    </w:rPr>
                    <w:br/>
                    <w:t>475.19375</w:t>
                  </w:r>
                </w:p>
              </w:tc>
              <w:tc>
                <w:tcPr>
                  <w:tcW w:w="1134" w:type="dxa"/>
                  <w:tcBorders>
                    <w:top w:val="single" w:sz="6" w:space="0" w:color="auto"/>
                    <w:left w:val="single" w:sz="6" w:space="0" w:color="auto"/>
                    <w:bottom w:val="single" w:sz="6" w:space="0" w:color="auto"/>
                    <w:right w:val="single" w:sz="6" w:space="0" w:color="auto"/>
                  </w:tcBorders>
                  <w:hideMark/>
                </w:tcPr>
                <w:p w14:paraId="5179F78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4F1928D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340331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474.7875 + n (0.0125)</w:t>
                  </w:r>
                </w:p>
              </w:tc>
              <w:tc>
                <w:tcPr>
                  <w:tcW w:w="1531" w:type="dxa"/>
                  <w:tcBorders>
                    <w:top w:val="single" w:sz="6" w:space="0" w:color="auto"/>
                    <w:left w:val="single" w:sz="6" w:space="0" w:color="auto"/>
                    <w:bottom w:val="single" w:sz="6" w:space="0" w:color="auto"/>
                    <w:right w:val="single" w:sz="6" w:space="0" w:color="auto"/>
                  </w:tcBorders>
                  <w:hideMark/>
                </w:tcPr>
                <w:p w14:paraId="20F3FC2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32</w:t>
                  </w:r>
                </w:p>
              </w:tc>
              <w:tc>
                <w:tcPr>
                  <w:tcW w:w="1701" w:type="dxa"/>
                  <w:tcBorders>
                    <w:top w:val="single" w:sz="6" w:space="0" w:color="auto"/>
                    <w:left w:val="single" w:sz="6" w:space="0" w:color="auto"/>
                    <w:bottom w:val="single" w:sz="6" w:space="0" w:color="auto"/>
                    <w:right w:val="single" w:sz="12" w:space="0" w:color="auto"/>
                  </w:tcBorders>
                  <w:hideMark/>
                </w:tcPr>
                <w:p w14:paraId="4B1D2A0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474.8000</w:t>
                  </w:r>
                  <w:r>
                    <w:rPr>
                      <w:rFonts w:cs="Arial"/>
                      <w:szCs w:val="20"/>
                      <w:lang w:val="en-GB" w:eastAsia="en-US"/>
                    </w:rPr>
                    <w:br/>
                    <w:t>475.1875</w:t>
                  </w:r>
                </w:p>
              </w:tc>
            </w:tr>
            <w:tr w:rsidR="00AA7E93" w14:paraId="4A1FCB04"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09F45A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DD</w:t>
                  </w:r>
                </w:p>
              </w:tc>
              <w:tc>
                <w:tcPr>
                  <w:tcW w:w="3120" w:type="dxa"/>
                  <w:tcBorders>
                    <w:top w:val="single" w:sz="6" w:space="0" w:color="auto"/>
                    <w:left w:val="single" w:sz="6" w:space="0" w:color="auto"/>
                    <w:bottom w:val="single" w:sz="6" w:space="0" w:color="auto"/>
                    <w:right w:val="single" w:sz="6" w:space="0" w:color="auto"/>
                  </w:tcBorders>
                  <w:hideMark/>
                </w:tcPr>
                <w:p w14:paraId="693F5B8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3EA61CC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475.19375</w:t>
                  </w:r>
                  <w:r>
                    <w:rPr>
                      <w:rFonts w:cs="Arial"/>
                      <w:szCs w:val="20"/>
                      <w:lang w:val="en-GB" w:eastAsia="en-US"/>
                    </w:rPr>
                    <w:br/>
                    <w:t>476.4125</w:t>
                  </w:r>
                </w:p>
              </w:tc>
              <w:tc>
                <w:tcPr>
                  <w:tcW w:w="1134" w:type="dxa"/>
                  <w:tcBorders>
                    <w:top w:val="single" w:sz="6" w:space="0" w:color="auto"/>
                    <w:left w:val="single" w:sz="6" w:space="0" w:color="auto"/>
                    <w:bottom w:val="single" w:sz="6" w:space="0" w:color="auto"/>
                    <w:right w:val="single" w:sz="6" w:space="0" w:color="auto"/>
                  </w:tcBorders>
                  <w:hideMark/>
                </w:tcPr>
                <w:p w14:paraId="05AC0CD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Z</w:t>
                  </w:r>
                </w:p>
              </w:tc>
              <w:tc>
                <w:tcPr>
                  <w:tcW w:w="1187" w:type="dxa"/>
                  <w:tcBorders>
                    <w:top w:val="single" w:sz="6" w:space="0" w:color="auto"/>
                    <w:left w:val="single" w:sz="6" w:space="0" w:color="auto"/>
                    <w:bottom w:val="single" w:sz="6" w:space="0" w:color="auto"/>
                    <w:right w:val="single" w:sz="6" w:space="0" w:color="auto"/>
                  </w:tcBorders>
                  <w:hideMark/>
                </w:tcPr>
                <w:p w14:paraId="34754D3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31F871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475.1875 + n (0.0125)</w:t>
                  </w:r>
                </w:p>
              </w:tc>
              <w:tc>
                <w:tcPr>
                  <w:tcW w:w="1531" w:type="dxa"/>
                  <w:tcBorders>
                    <w:top w:val="single" w:sz="6" w:space="0" w:color="auto"/>
                    <w:left w:val="single" w:sz="6" w:space="0" w:color="auto"/>
                    <w:bottom w:val="single" w:sz="6" w:space="0" w:color="auto"/>
                    <w:right w:val="single" w:sz="6" w:space="0" w:color="auto"/>
                  </w:tcBorders>
                  <w:hideMark/>
                </w:tcPr>
                <w:p w14:paraId="3B8EC7A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97</w:t>
                  </w:r>
                </w:p>
              </w:tc>
              <w:tc>
                <w:tcPr>
                  <w:tcW w:w="1701" w:type="dxa"/>
                  <w:tcBorders>
                    <w:top w:val="single" w:sz="6" w:space="0" w:color="auto"/>
                    <w:left w:val="single" w:sz="6" w:space="0" w:color="auto"/>
                    <w:bottom w:val="single" w:sz="6" w:space="0" w:color="auto"/>
                    <w:right w:val="single" w:sz="12" w:space="0" w:color="auto"/>
                  </w:tcBorders>
                  <w:hideMark/>
                </w:tcPr>
                <w:p w14:paraId="6F8E88B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475.2000</w:t>
                  </w:r>
                  <w:r>
                    <w:rPr>
                      <w:rFonts w:cs="Arial"/>
                      <w:szCs w:val="20"/>
                      <w:lang w:val="en-GB" w:eastAsia="en-US"/>
                    </w:rPr>
                    <w:br/>
                    <w:t>476.4000</w:t>
                  </w:r>
                </w:p>
              </w:tc>
            </w:tr>
            <w:tr w:rsidR="00AA7E93" w14:paraId="7440927C"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0BC401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EE</w:t>
                  </w:r>
                </w:p>
              </w:tc>
              <w:tc>
                <w:tcPr>
                  <w:tcW w:w="3120" w:type="dxa"/>
                  <w:tcBorders>
                    <w:top w:val="single" w:sz="6" w:space="0" w:color="auto"/>
                    <w:left w:val="single" w:sz="6" w:space="0" w:color="auto"/>
                    <w:bottom w:val="single" w:sz="6" w:space="0" w:color="auto"/>
                    <w:right w:val="single" w:sz="6" w:space="0" w:color="auto"/>
                  </w:tcBorders>
                  <w:hideMark/>
                </w:tcPr>
                <w:p w14:paraId="10F3212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 xml:space="preserve">Land mobile service </w:t>
                  </w:r>
                  <w:r>
                    <w:rPr>
                      <w:rFonts w:cs="Arial"/>
                      <w:szCs w:val="20"/>
                      <w:lang w:val="en-GB" w:eastAsia="en-US"/>
                    </w:rPr>
                    <w:br/>
                    <w:t>(Citizen Band Radio, single frequency)</w:t>
                  </w:r>
                </w:p>
              </w:tc>
              <w:tc>
                <w:tcPr>
                  <w:tcW w:w="1418" w:type="dxa"/>
                  <w:tcBorders>
                    <w:top w:val="single" w:sz="6" w:space="0" w:color="auto"/>
                    <w:left w:val="single" w:sz="6" w:space="0" w:color="auto"/>
                    <w:bottom w:val="single" w:sz="6" w:space="0" w:color="auto"/>
                    <w:right w:val="single" w:sz="6" w:space="0" w:color="auto"/>
                  </w:tcBorders>
                  <w:hideMark/>
                </w:tcPr>
                <w:p w14:paraId="5A4A84A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476.4125</w:t>
                  </w:r>
                  <w:r>
                    <w:rPr>
                      <w:rFonts w:cs="Arial"/>
                      <w:szCs w:val="20"/>
                      <w:lang w:val="en-GB" w:eastAsia="en-US"/>
                    </w:rPr>
                    <w:br/>
                    <w:t>477.41875</w:t>
                  </w:r>
                </w:p>
              </w:tc>
              <w:tc>
                <w:tcPr>
                  <w:tcW w:w="1134" w:type="dxa"/>
                  <w:tcBorders>
                    <w:top w:val="single" w:sz="6" w:space="0" w:color="auto"/>
                    <w:left w:val="single" w:sz="6" w:space="0" w:color="auto"/>
                    <w:bottom w:val="single" w:sz="6" w:space="0" w:color="auto"/>
                    <w:right w:val="single" w:sz="6" w:space="0" w:color="auto"/>
                  </w:tcBorders>
                  <w:hideMark/>
                </w:tcPr>
                <w:p w14:paraId="77CF745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6CB056D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12.5/25</w:t>
                  </w:r>
                </w:p>
              </w:tc>
              <w:tc>
                <w:tcPr>
                  <w:tcW w:w="2268" w:type="dxa"/>
                  <w:tcBorders>
                    <w:top w:val="single" w:sz="6" w:space="0" w:color="auto"/>
                    <w:left w:val="single" w:sz="6" w:space="0" w:color="auto"/>
                    <w:bottom w:val="single" w:sz="6" w:space="0" w:color="auto"/>
                    <w:right w:val="single" w:sz="6" w:space="0" w:color="auto"/>
                  </w:tcBorders>
                  <w:hideMark/>
                </w:tcPr>
                <w:p w14:paraId="43FFAF4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See note 6</w:t>
                  </w:r>
                </w:p>
              </w:tc>
              <w:tc>
                <w:tcPr>
                  <w:tcW w:w="1531" w:type="dxa"/>
                  <w:tcBorders>
                    <w:top w:val="single" w:sz="6" w:space="0" w:color="auto"/>
                    <w:left w:val="single" w:sz="6" w:space="0" w:color="auto"/>
                    <w:bottom w:val="single" w:sz="6" w:space="0" w:color="auto"/>
                    <w:right w:val="single" w:sz="6" w:space="0" w:color="auto"/>
                  </w:tcBorders>
                  <w:hideMark/>
                </w:tcPr>
                <w:p w14:paraId="42F4DDF0" w14:textId="77777777" w:rsidR="00AA7E93" w:rsidRDefault="00AA7E93">
                  <w:pPr>
                    <w:widowControl w:val="0"/>
                    <w:spacing w:before="40" w:after="120" w:line="240" w:lineRule="auto"/>
                    <w:ind w:left="295" w:right="-23"/>
                    <w:rPr>
                      <w:rFonts w:cs="Arial"/>
                      <w:szCs w:val="20"/>
                      <w:lang w:val="en-GB" w:eastAsia="en-US"/>
                    </w:rPr>
                  </w:pPr>
                  <w:r>
                    <w:rPr>
                      <w:rFonts w:cs="Arial"/>
                      <w:szCs w:val="20"/>
                      <w:lang w:val="en-GB" w:eastAsia="en-US"/>
                    </w:rPr>
                    <w:t>-</w:t>
                  </w:r>
                </w:p>
              </w:tc>
              <w:tc>
                <w:tcPr>
                  <w:tcW w:w="1701" w:type="dxa"/>
                  <w:tcBorders>
                    <w:top w:val="single" w:sz="6" w:space="0" w:color="auto"/>
                    <w:left w:val="single" w:sz="6" w:space="0" w:color="auto"/>
                    <w:bottom w:val="single" w:sz="6" w:space="0" w:color="auto"/>
                    <w:right w:val="single" w:sz="12" w:space="0" w:color="auto"/>
                  </w:tcBorders>
                  <w:hideMark/>
                </w:tcPr>
                <w:p w14:paraId="46F3062C" w14:textId="77777777" w:rsidR="00AA7E93" w:rsidRDefault="00AA7E93">
                  <w:pPr>
                    <w:widowControl w:val="0"/>
                    <w:spacing w:before="40" w:after="120" w:line="240" w:lineRule="auto"/>
                    <w:ind w:left="323" w:right="-23"/>
                    <w:rPr>
                      <w:rFonts w:cs="Arial"/>
                      <w:szCs w:val="20"/>
                      <w:lang w:val="en-GB" w:eastAsia="en-US"/>
                    </w:rPr>
                  </w:pPr>
                  <w:r>
                    <w:rPr>
                      <w:rFonts w:cs="Arial"/>
                      <w:szCs w:val="20"/>
                      <w:lang w:val="en-GB" w:eastAsia="en-US"/>
                    </w:rPr>
                    <w:t>-</w:t>
                  </w:r>
                </w:p>
              </w:tc>
            </w:tr>
            <w:tr w:rsidR="00AA7E93" w14:paraId="0DA657E3"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C408A5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FF</w:t>
                  </w:r>
                </w:p>
              </w:tc>
              <w:tc>
                <w:tcPr>
                  <w:tcW w:w="3120" w:type="dxa"/>
                  <w:tcBorders>
                    <w:top w:val="single" w:sz="6" w:space="0" w:color="auto"/>
                    <w:left w:val="single" w:sz="6" w:space="0" w:color="auto"/>
                    <w:bottom w:val="single" w:sz="6" w:space="0" w:color="auto"/>
                    <w:right w:val="single" w:sz="6" w:space="0" w:color="auto"/>
                  </w:tcBorders>
                  <w:hideMark/>
                </w:tcPr>
                <w:p w14:paraId="0308300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6C266EB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477.41875</w:t>
                  </w:r>
                  <w:r>
                    <w:rPr>
                      <w:rFonts w:cs="Arial"/>
                      <w:szCs w:val="20"/>
                      <w:lang w:val="en-GB" w:eastAsia="en-US"/>
                    </w:rPr>
                    <w:br/>
                    <w:t xml:space="preserve">479.99375 </w:t>
                  </w:r>
                </w:p>
              </w:tc>
              <w:tc>
                <w:tcPr>
                  <w:tcW w:w="1134" w:type="dxa"/>
                  <w:tcBorders>
                    <w:top w:val="single" w:sz="6" w:space="0" w:color="auto"/>
                    <w:left w:val="single" w:sz="6" w:space="0" w:color="auto"/>
                    <w:bottom w:val="single" w:sz="6" w:space="0" w:color="auto"/>
                    <w:right w:val="single" w:sz="6" w:space="0" w:color="auto"/>
                  </w:tcBorders>
                  <w:hideMark/>
                </w:tcPr>
                <w:p w14:paraId="1971CF2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BB</w:t>
                  </w:r>
                </w:p>
              </w:tc>
              <w:tc>
                <w:tcPr>
                  <w:tcW w:w="1187" w:type="dxa"/>
                  <w:tcBorders>
                    <w:top w:val="single" w:sz="6" w:space="0" w:color="auto"/>
                    <w:left w:val="single" w:sz="6" w:space="0" w:color="auto"/>
                    <w:bottom w:val="single" w:sz="6" w:space="0" w:color="auto"/>
                    <w:right w:val="single" w:sz="6" w:space="0" w:color="auto"/>
                  </w:tcBorders>
                  <w:hideMark/>
                </w:tcPr>
                <w:p w14:paraId="3E24DAF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26F120B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477.4125 + n (0.0125)</w:t>
                  </w:r>
                </w:p>
              </w:tc>
              <w:tc>
                <w:tcPr>
                  <w:tcW w:w="1531" w:type="dxa"/>
                  <w:tcBorders>
                    <w:top w:val="single" w:sz="6" w:space="0" w:color="auto"/>
                    <w:left w:val="single" w:sz="6" w:space="0" w:color="auto"/>
                    <w:bottom w:val="single" w:sz="6" w:space="0" w:color="auto"/>
                    <w:right w:val="single" w:sz="6" w:space="0" w:color="auto"/>
                  </w:tcBorders>
                  <w:hideMark/>
                </w:tcPr>
                <w:p w14:paraId="0B81681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206</w:t>
                  </w:r>
                </w:p>
              </w:tc>
              <w:tc>
                <w:tcPr>
                  <w:tcW w:w="1701" w:type="dxa"/>
                  <w:tcBorders>
                    <w:top w:val="single" w:sz="6" w:space="0" w:color="auto"/>
                    <w:left w:val="single" w:sz="6" w:space="0" w:color="auto"/>
                    <w:bottom w:val="single" w:sz="6" w:space="0" w:color="auto"/>
                    <w:right w:val="single" w:sz="12" w:space="0" w:color="auto"/>
                  </w:tcBorders>
                  <w:hideMark/>
                </w:tcPr>
                <w:p w14:paraId="7E83497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477.4250</w:t>
                  </w:r>
                  <w:r>
                    <w:rPr>
                      <w:rFonts w:cs="Arial"/>
                      <w:szCs w:val="20"/>
                      <w:lang w:val="en-GB" w:eastAsia="en-US"/>
                    </w:rPr>
                    <w:br/>
                    <w:t>479.9875</w:t>
                  </w:r>
                </w:p>
              </w:tc>
            </w:tr>
            <w:tr w:rsidR="00AA7E93" w14:paraId="603B2282"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1866A7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GG</w:t>
                  </w:r>
                </w:p>
              </w:tc>
              <w:tc>
                <w:tcPr>
                  <w:tcW w:w="3120" w:type="dxa"/>
                  <w:tcBorders>
                    <w:top w:val="single" w:sz="6" w:space="0" w:color="auto"/>
                    <w:left w:val="single" w:sz="6" w:space="0" w:color="auto"/>
                    <w:bottom w:val="single" w:sz="6" w:space="0" w:color="auto"/>
                    <w:right w:val="single" w:sz="6" w:space="0" w:color="auto"/>
                  </w:tcBorders>
                  <w:hideMark/>
                </w:tcPr>
                <w:p w14:paraId="5CAF509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4CB47AC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479.99375</w:t>
                  </w:r>
                  <w:r>
                    <w:rPr>
                      <w:rFonts w:cs="Arial"/>
                      <w:szCs w:val="20"/>
                      <w:lang w:val="en-GB" w:eastAsia="en-US"/>
                    </w:rPr>
                    <w:br/>
                    <w:t>484.79375</w:t>
                  </w:r>
                </w:p>
              </w:tc>
              <w:tc>
                <w:tcPr>
                  <w:tcW w:w="1134" w:type="dxa"/>
                  <w:tcBorders>
                    <w:top w:val="single" w:sz="6" w:space="0" w:color="auto"/>
                    <w:left w:val="single" w:sz="6" w:space="0" w:color="auto"/>
                    <w:bottom w:val="single" w:sz="6" w:space="0" w:color="auto"/>
                    <w:right w:val="single" w:sz="6" w:space="0" w:color="auto"/>
                  </w:tcBorders>
                  <w:hideMark/>
                </w:tcPr>
                <w:p w14:paraId="42D681F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II</w:t>
                  </w:r>
                </w:p>
              </w:tc>
              <w:tc>
                <w:tcPr>
                  <w:tcW w:w="1187" w:type="dxa"/>
                  <w:tcBorders>
                    <w:top w:val="single" w:sz="6" w:space="0" w:color="auto"/>
                    <w:left w:val="single" w:sz="6" w:space="0" w:color="auto"/>
                    <w:bottom w:val="single" w:sz="6" w:space="0" w:color="auto"/>
                    <w:right w:val="single" w:sz="6" w:space="0" w:color="auto"/>
                  </w:tcBorders>
                  <w:hideMark/>
                </w:tcPr>
                <w:p w14:paraId="3A45265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09DBCAB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479.9875 + n (0.0125)</w:t>
                  </w:r>
                </w:p>
              </w:tc>
              <w:tc>
                <w:tcPr>
                  <w:tcW w:w="1531" w:type="dxa"/>
                  <w:tcBorders>
                    <w:top w:val="single" w:sz="6" w:space="0" w:color="auto"/>
                    <w:left w:val="single" w:sz="6" w:space="0" w:color="auto"/>
                    <w:bottom w:val="single" w:sz="6" w:space="0" w:color="auto"/>
                    <w:right w:val="single" w:sz="6" w:space="0" w:color="auto"/>
                  </w:tcBorders>
                  <w:hideMark/>
                </w:tcPr>
                <w:p w14:paraId="4FFDA24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384</w:t>
                  </w:r>
                </w:p>
              </w:tc>
              <w:tc>
                <w:tcPr>
                  <w:tcW w:w="1701" w:type="dxa"/>
                  <w:tcBorders>
                    <w:top w:val="single" w:sz="6" w:space="0" w:color="auto"/>
                    <w:left w:val="single" w:sz="6" w:space="0" w:color="auto"/>
                    <w:bottom w:val="single" w:sz="6" w:space="0" w:color="auto"/>
                    <w:right w:val="single" w:sz="12" w:space="0" w:color="auto"/>
                  </w:tcBorders>
                  <w:hideMark/>
                </w:tcPr>
                <w:p w14:paraId="5047740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480.0000</w:t>
                  </w:r>
                  <w:r>
                    <w:rPr>
                      <w:rFonts w:cs="Arial"/>
                      <w:szCs w:val="20"/>
                      <w:lang w:val="en-GB" w:eastAsia="en-US"/>
                    </w:rPr>
                    <w:br/>
                    <w:t>484.7875</w:t>
                  </w:r>
                </w:p>
              </w:tc>
            </w:tr>
            <w:tr w:rsidR="00AA7E93" w14:paraId="6149C79C"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57A7B9A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HH</w:t>
                  </w:r>
                </w:p>
              </w:tc>
              <w:tc>
                <w:tcPr>
                  <w:tcW w:w="3120" w:type="dxa"/>
                  <w:tcBorders>
                    <w:top w:val="single" w:sz="6" w:space="0" w:color="auto"/>
                    <w:left w:val="single" w:sz="6" w:space="0" w:color="auto"/>
                    <w:bottom w:val="single" w:sz="6" w:space="0" w:color="auto"/>
                    <w:right w:val="single" w:sz="6" w:space="0" w:color="auto"/>
                  </w:tcBorders>
                  <w:hideMark/>
                </w:tcPr>
                <w:p w14:paraId="58893E9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2433E0C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484.79375</w:t>
                  </w:r>
                  <w:r>
                    <w:rPr>
                      <w:rFonts w:cs="Arial"/>
                      <w:szCs w:val="20"/>
                      <w:lang w:val="en-GB" w:eastAsia="en-US"/>
                    </w:rPr>
                    <w:br/>
                    <w:t xml:space="preserve">485.19375 </w:t>
                  </w:r>
                </w:p>
              </w:tc>
              <w:tc>
                <w:tcPr>
                  <w:tcW w:w="1134" w:type="dxa"/>
                  <w:tcBorders>
                    <w:top w:val="single" w:sz="6" w:space="0" w:color="auto"/>
                    <w:left w:val="single" w:sz="6" w:space="0" w:color="auto"/>
                    <w:bottom w:val="single" w:sz="6" w:space="0" w:color="auto"/>
                    <w:right w:val="single" w:sz="6" w:space="0" w:color="auto"/>
                  </w:tcBorders>
                  <w:hideMark/>
                </w:tcPr>
                <w:p w14:paraId="75441B8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50E0B19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570A5D8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484.7875 + n (0.0125)</w:t>
                  </w:r>
                </w:p>
              </w:tc>
              <w:tc>
                <w:tcPr>
                  <w:tcW w:w="1531" w:type="dxa"/>
                  <w:tcBorders>
                    <w:top w:val="single" w:sz="6" w:space="0" w:color="auto"/>
                    <w:left w:val="single" w:sz="6" w:space="0" w:color="auto"/>
                    <w:bottom w:val="single" w:sz="6" w:space="0" w:color="auto"/>
                    <w:right w:val="single" w:sz="6" w:space="0" w:color="auto"/>
                  </w:tcBorders>
                  <w:hideMark/>
                </w:tcPr>
                <w:p w14:paraId="43B3C6A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32</w:t>
                  </w:r>
                </w:p>
              </w:tc>
              <w:tc>
                <w:tcPr>
                  <w:tcW w:w="1701" w:type="dxa"/>
                  <w:tcBorders>
                    <w:top w:val="single" w:sz="6" w:space="0" w:color="auto"/>
                    <w:left w:val="single" w:sz="6" w:space="0" w:color="auto"/>
                    <w:bottom w:val="single" w:sz="6" w:space="0" w:color="auto"/>
                    <w:right w:val="single" w:sz="12" w:space="0" w:color="auto"/>
                  </w:tcBorders>
                  <w:hideMark/>
                </w:tcPr>
                <w:p w14:paraId="62DA06F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484.8000</w:t>
                  </w:r>
                  <w:r>
                    <w:rPr>
                      <w:rFonts w:cs="Arial"/>
                      <w:szCs w:val="20"/>
                      <w:lang w:val="en-GB" w:eastAsia="en-US"/>
                    </w:rPr>
                    <w:br/>
                    <w:t>485.1875</w:t>
                  </w:r>
                </w:p>
              </w:tc>
            </w:tr>
            <w:tr w:rsidR="00AA7E93" w14:paraId="492D37C4"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67B870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II</w:t>
                  </w:r>
                </w:p>
              </w:tc>
              <w:tc>
                <w:tcPr>
                  <w:tcW w:w="3120" w:type="dxa"/>
                  <w:tcBorders>
                    <w:top w:val="single" w:sz="6" w:space="0" w:color="auto"/>
                    <w:left w:val="single" w:sz="6" w:space="0" w:color="auto"/>
                    <w:bottom w:val="single" w:sz="6" w:space="0" w:color="auto"/>
                    <w:right w:val="single" w:sz="6" w:space="0" w:color="auto"/>
                  </w:tcBorders>
                  <w:hideMark/>
                </w:tcPr>
                <w:p w14:paraId="2BF741A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479F5D8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485.19375</w:t>
                  </w:r>
                  <w:r>
                    <w:rPr>
                      <w:rFonts w:cs="Arial"/>
                      <w:szCs w:val="20"/>
                      <w:lang w:val="en-GB" w:eastAsia="en-US"/>
                    </w:rPr>
                    <w:br/>
                    <w:t>489.99375</w:t>
                  </w:r>
                </w:p>
              </w:tc>
              <w:tc>
                <w:tcPr>
                  <w:tcW w:w="1134" w:type="dxa"/>
                  <w:tcBorders>
                    <w:top w:val="single" w:sz="6" w:space="0" w:color="auto"/>
                    <w:left w:val="single" w:sz="6" w:space="0" w:color="auto"/>
                    <w:bottom w:val="single" w:sz="6" w:space="0" w:color="auto"/>
                    <w:right w:val="single" w:sz="6" w:space="0" w:color="auto"/>
                  </w:tcBorders>
                  <w:hideMark/>
                </w:tcPr>
                <w:p w14:paraId="47D4733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GG</w:t>
                  </w:r>
                </w:p>
              </w:tc>
              <w:tc>
                <w:tcPr>
                  <w:tcW w:w="1187" w:type="dxa"/>
                  <w:tcBorders>
                    <w:top w:val="single" w:sz="6" w:space="0" w:color="auto"/>
                    <w:left w:val="single" w:sz="6" w:space="0" w:color="auto"/>
                    <w:bottom w:val="single" w:sz="6" w:space="0" w:color="auto"/>
                    <w:right w:val="single" w:sz="6" w:space="0" w:color="auto"/>
                  </w:tcBorders>
                  <w:hideMark/>
                </w:tcPr>
                <w:p w14:paraId="3C54D70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DC9FD6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485.1875 + n (0.0125)</w:t>
                  </w:r>
                </w:p>
              </w:tc>
              <w:tc>
                <w:tcPr>
                  <w:tcW w:w="1531" w:type="dxa"/>
                  <w:tcBorders>
                    <w:top w:val="single" w:sz="6" w:space="0" w:color="auto"/>
                    <w:left w:val="single" w:sz="6" w:space="0" w:color="auto"/>
                    <w:bottom w:val="single" w:sz="6" w:space="0" w:color="auto"/>
                    <w:right w:val="single" w:sz="6" w:space="0" w:color="auto"/>
                  </w:tcBorders>
                  <w:hideMark/>
                </w:tcPr>
                <w:p w14:paraId="690B852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384</w:t>
                  </w:r>
                </w:p>
              </w:tc>
              <w:tc>
                <w:tcPr>
                  <w:tcW w:w="1701" w:type="dxa"/>
                  <w:tcBorders>
                    <w:top w:val="single" w:sz="6" w:space="0" w:color="auto"/>
                    <w:left w:val="single" w:sz="6" w:space="0" w:color="auto"/>
                    <w:bottom w:val="single" w:sz="6" w:space="0" w:color="auto"/>
                    <w:right w:val="single" w:sz="12" w:space="0" w:color="auto"/>
                  </w:tcBorders>
                  <w:hideMark/>
                </w:tcPr>
                <w:p w14:paraId="79FF109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485.2000</w:t>
                  </w:r>
                  <w:r>
                    <w:rPr>
                      <w:rFonts w:cs="Arial"/>
                      <w:szCs w:val="20"/>
                      <w:lang w:val="en-GB" w:eastAsia="en-US"/>
                    </w:rPr>
                    <w:br/>
                    <w:t>489.9875</w:t>
                  </w:r>
                </w:p>
              </w:tc>
            </w:tr>
            <w:tr w:rsidR="00AA7E93" w14:paraId="4CC42D8D"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6C1473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JJ</w:t>
                  </w:r>
                </w:p>
              </w:tc>
              <w:tc>
                <w:tcPr>
                  <w:tcW w:w="3120" w:type="dxa"/>
                  <w:tcBorders>
                    <w:top w:val="single" w:sz="6" w:space="0" w:color="auto"/>
                    <w:left w:val="single" w:sz="6" w:space="0" w:color="auto"/>
                    <w:bottom w:val="single" w:sz="6" w:space="0" w:color="auto"/>
                    <w:right w:val="single" w:sz="6" w:space="0" w:color="auto"/>
                  </w:tcBorders>
                  <w:hideMark/>
                </w:tcPr>
                <w:p w14:paraId="1FD63A9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78916C8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489.99375</w:t>
                  </w:r>
                  <w:r>
                    <w:rPr>
                      <w:rFonts w:cs="Arial"/>
                      <w:szCs w:val="20"/>
                      <w:lang w:val="en-GB" w:eastAsia="en-US"/>
                    </w:rPr>
                    <w:br/>
                    <w:t>494.79375</w:t>
                  </w:r>
                </w:p>
              </w:tc>
              <w:tc>
                <w:tcPr>
                  <w:tcW w:w="1134" w:type="dxa"/>
                  <w:tcBorders>
                    <w:top w:val="single" w:sz="6" w:space="0" w:color="auto"/>
                    <w:left w:val="single" w:sz="6" w:space="0" w:color="auto"/>
                    <w:bottom w:val="single" w:sz="6" w:space="0" w:color="auto"/>
                    <w:right w:val="single" w:sz="6" w:space="0" w:color="auto"/>
                  </w:tcBorders>
                  <w:hideMark/>
                </w:tcPr>
                <w:p w14:paraId="7DFD0BB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LL</w:t>
                  </w:r>
                </w:p>
              </w:tc>
              <w:tc>
                <w:tcPr>
                  <w:tcW w:w="1187" w:type="dxa"/>
                  <w:tcBorders>
                    <w:top w:val="single" w:sz="6" w:space="0" w:color="auto"/>
                    <w:left w:val="single" w:sz="6" w:space="0" w:color="auto"/>
                    <w:bottom w:val="single" w:sz="6" w:space="0" w:color="auto"/>
                    <w:right w:val="single" w:sz="6" w:space="0" w:color="auto"/>
                  </w:tcBorders>
                  <w:hideMark/>
                </w:tcPr>
                <w:p w14:paraId="6FB7972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712E1F4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489.9875 + n (0.0125)</w:t>
                  </w:r>
                </w:p>
              </w:tc>
              <w:tc>
                <w:tcPr>
                  <w:tcW w:w="1531" w:type="dxa"/>
                  <w:tcBorders>
                    <w:top w:val="single" w:sz="6" w:space="0" w:color="auto"/>
                    <w:left w:val="single" w:sz="6" w:space="0" w:color="auto"/>
                    <w:bottom w:val="single" w:sz="6" w:space="0" w:color="auto"/>
                    <w:right w:val="single" w:sz="6" w:space="0" w:color="auto"/>
                  </w:tcBorders>
                  <w:hideMark/>
                </w:tcPr>
                <w:p w14:paraId="117414C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384</w:t>
                  </w:r>
                </w:p>
              </w:tc>
              <w:tc>
                <w:tcPr>
                  <w:tcW w:w="1701" w:type="dxa"/>
                  <w:tcBorders>
                    <w:top w:val="single" w:sz="6" w:space="0" w:color="auto"/>
                    <w:left w:val="single" w:sz="6" w:space="0" w:color="auto"/>
                    <w:bottom w:val="single" w:sz="6" w:space="0" w:color="auto"/>
                    <w:right w:val="single" w:sz="12" w:space="0" w:color="auto"/>
                  </w:tcBorders>
                  <w:hideMark/>
                </w:tcPr>
                <w:p w14:paraId="2D4F0D7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490.0000</w:t>
                  </w:r>
                  <w:r>
                    <w:rPr>
                      <w:rFonts w:cs="Arial"/>
                      <w:szCs w:val="20"/>
                      <w:lang w:val="en-GB" w:eastAsia="en-US"/>
                    </w:rPr>
                    <w:br/>
                    <w:t>494.7875</w:t>
                  </w:r>
                </w:p>
              </w:tc>
            </w:tr>
            <w:tr w:rsidR="00AA7E93" w14:paraId="6A87062B"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D14513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KK</w:t>
                  </w:r>
                </w:p>
              </w:tc>
              <w:tc>
                <w:tcPr>
                  <w:tcW w:w="3120" w:type="dxa"/>
                  <w:tcBorders>
                    <w:top w:val="single" w:sz="6" w:space="0" w:color="auto"/>
                    <w:left w:val="single" w:sz="6" w:space="0" w:color="auto"/>
                    <w:bottom w:val="single" w:sz="6" w:space="0" w:color="auto"/>
                    <w:right w:val="single" w:sz="6" w:space="0" w:color="auto"/>
                  </w:tcBorders>
                  <w:hideMark/>
                </w:tcPr>
                <w:p w14:paraId="2F7C806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5656A59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494.79375</w:t>
                  </w:r>
                  <w:r>
                    <w:rPr>
                      <w:rFonts w:cs="Arial"/>
                      <w:szCs w:val="20"/>
                      <w:lang w:val="en-GB" w:eastAsia="en-US"/>
                    </w:rPr>
                    <w:br/>
                    <w:t>495.19375</w:t>
                  </w:r>
                </w:p>
              </w:tc>
              <w:tc>
                <w:tcPr>
                  <w:tcW w:w="1134" w:type="dxa"/>
                  <w:tcBorders>
                    <w:top w:val="single" w:sz="6" w:space="0" w:color="auto"/>
                    <w:left w:val="single" w:sz="6" w:space="0" w:color="auto"/>
                    <w:bottom w:val="single" w:sz="6" w:space="0" w:color="auto"/>
                    <w:right w:val="single" w:sz="6" w:space="0" w:color="auto"/>
                  </w:tcBorders>
                  <w:hideMark/>
                </w:tcPr>
                <w:p w14:paraId="551B783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19DF67B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2A9B996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494.7875 + n (0.0125)</w:t>
                  </w:r>
                </w:p>
              </w:tc>
              <w:tc>
                <w:tcPr>
                  <w:tcW w:w="1531" w:type="dxa"/>
                  <w:tcBorders>
                    <w:top w:val="single" w:sz="6" w:space="0" w:color="auto"/>
                    <w:left w:val="single" w:sz="6" w:space="0" w:color="auto"/>
                    <w:bottom w:val="single" w:sz="6" w:space="0" w:color="auto"/>
                    <w:right w:val="single" w:sz="6" w:space="0" w:color="auto"/>
                  </w:tcBorders>
                  <w:hideMark/>
                </w:tcPr>
                <w:p w14:paraId="2E57B7F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32</w:t>
                  </w:r>
                </w:p>
              </w:tc>
              <w:tc>
                <w:tcPr>
                  <w:tcW w:w="1701" w:type="dxa"/>
                  <w:tcBorders>
                    <w:top w:val="single" w:sz="6" w:space="0" w:color="auto"/>
                    <w:left w:val="single" w:sz="6" w:space="0" w:color="auto"/>
                    <w:bottom w:val="single" w:sz="6" w:space="0" w:color="auto"/>
                    <w:right w:val="single" w:sz="12" w:space="0" w:color="auto"/>
                  </w:tcBorders>
                  <w:hideMark/>
                </w:tcPr>
                <w:p w14:paraId="763857A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494.8000</w:t>
                  </w:r>
                  <w:r>
                    <w:rPr>
                      <w:rFonts w:cs="Arial"/>
                      <w:szCs w:val="20"/>
                      <w:lang w:val="en-GB" w:eastAsia="en-US"/>
                    </w:rPr>
                    <w:br/>
                    <w:t>495.1875</w:t>
                  </w:r>
                </w:p>
              </w:tc>
            </w:tr>
            <w:tr w:rsidR="00AA7E93" w14:paraId="46CD38A9"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5904867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LL</w:t>
                  </w:r>
                </w:p>
              </w:tc>
              <w:tc>
                <w:tcPr>
                  <w:tcW w:w="3120" w:type="dxa"/>
                  <w:tcBorders>
                    <w:top w:val="single" w:sz="6" w:space="0" w:color="auto"/>
                    <w:left w:val="single" w:sz="6" w:space="0" w:color="auto"/>
                    <w:bottom w:val="single" w:sz="6" w:space="0" w:color="auto"/>
                    <w:right w:val="single" w:sz="6" w:space="0" w:color="auto"/>
                  </w:tcBorders>
                  <w:hideMark/>
                </w:tcPr>
                <w:p w14:paraId="1DA89F0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68EA017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495.19375</w:t>
                  </w:r>
                  <w:r>
                    <w:rPr>
                      <w:rFonts w:cs="Arial"/>
                      <w:szCs w:val="20"/>
                      <w:lang w:val="en-GB" w:eastAsia="en-US"/>
                    </w:rPr>
                    <w:br/>
                    <w:t>499.99375</w:t>
                  </w:r>
                </w:p>
              </w:tc>
              <w:tc>
                <w:tcPr>
                  <w:tcW w:w="1134" w:type="dxa"/>
                  <w:tcBorders>
                    <w:top w:val="single" w:sz="6" w:space="0" w:color="auto"/>
                    <w:left w:val="single" w:sz="6" w:space="0" w:color="auto"/>
                    <w:bottom w:val="single" w:sz="6" w:space="0" w:color="auto"/>
                    <w:right w:val="single" w:sz="6" w:space="0" w:color="auto"/>
                  </w:tcBorders>
                  <w:hideMark/>
                </w:tcPr>
                <w:p w14:paraId="74484E2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JJ</w:t>
                  </w:r>
                </w:p>
              </w:tc>
              <w:tc>
                <w:tcPr>
                  <w:tcW w:w="1187" w:type="dxa"/>
                  <w:tcBorders>
                    <w:top w:val="single" w:sz="6" w:space="0" w:color="auto"/>
                    <w:left w:val="single" w:sz="6" w:space="0" w:color="auto"/>
                    <w:bottom w:val="single" w:sz="6" w:space="0" w:color="auto"/>
                    <w:right w:val="single" w:sz="6" w:space="0" w:color="auto"/>
                  </w:tcBorders>
                  <w:hideMark/>
                </w:tcPr>
                <w:p w14:paraId="14EC543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4968890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495.1875 + n (0.0125)</w:t>
                  </w:r>
                </w:p>
              </w:tc>
              <w:tc>
                <w:tcPr>
                  <w:tcW w:w="1531" w:type="dxa"/>
                  <w:tcBorders>
                    <w:top w:val="single" w:sz="6" w:space="0" w:color="auto"/>
                    <w:left w:val="single" w:sz="6" w:space="0" w:color="auto"/>
                    <w:bottom w:val="single" w:sz="6" w:space="0" w:color="auto"/>
                    <w:right w:val="single" w:sz="6" w:space="0" w:color="auto"/>
                  </w:tcBorders>
                  <w:hideMark/>
                </w:tcPr>
                <w:p w14:paraId="4A5E3F8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384</w:t>
                  </w:r>
                </w:p>
              </w:tc>
              <w:tc>
                <w:tcPr>
                  <w:tcW w:w="1701" w:type="dxa"/>
                  <w:tcBorders>
                    <w:top w:val="single" w:sz="6" w:space="0" w:color="auto"/>
                    <w:left w:val="single" w:sz="6" w:space="0" w:color="auto"/>
                    <w:bottom w:val="single" w:sz="6" w:space="0" w:color="auto"/>
                    <w:right w:val="single" w:sz="12" w:space="0" w:color="auto"/>
                  </w:tcBorders>
                  <w:hideMark/>
                </w:tcPr>
                <w:p w14:paraId="1CB78099"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495.2000</w:t>
                  </w:r>
                  <w:r>
                    <w:rPr>
                      <w:rFonts w:cs="Arial"/>
                      <w:szCs w:val="20"/>
                      <w:lang w:val="en-GB" w:eastAsia="en-US"/>
                    </w:rPr>
                    <w:br/>
                    <w:t>499.9875</w:t>
                  </w:r>
                </w:p>
              </w:tc>
            </w:tr>
            <w:tr w:rsidR="00AA7E93" w14:paraId="4683A97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A03856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MM</w:t>
                  </w:r>
                </w:p>
              </w:tc>
              <w:tc>
                <w:tcPr>
                  <w:tcW w:w="3120" w:type="dxa"/>
                  <w:tcBorders>
                    <w:top w:val="single" w:sz="6" w:space="0" w:color="auto"/>
                    <w:left w:val="single" w:sz="6" w:space="0" w:color="auto"/>
                    <w:bottom w:val="single" w:sz="6" w:space="0" w:color="auto"/>
                    <w:right w:val="single" w:sz="6" w:space="0" w:color="auto"/>
                  </w:tcBorders>
                  <w:hideMark/>
                </w:tcPr>
                <w:p w14:paraId="0420E03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7C4648C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499.99375</w:t>
                  </w:r>
                  <w:r>
                    <w:rPr>
                      <w:rFonts w:cs="Arial"/>
                      <w:szCs w:val="20"/>
                      <w:lang w:val="en-GB" w:eastAsia="en-US"/>
                    </w:rPr>
                    <w:br/>
                    <w:t>500.99375</w:t>
                  </w:r>
                </w:p>
              </w:tc>
              <w:tc>
                <w:tcPr>
                  <w:tcW w:w="1134" w:type="dxa"/>
                  <w:tcBorders>
                    <w:top w:val="single" w:sz="6" w:space="0" w:color="auto"/>
                    <w:left w:val="single" w:sz="6" w:space="0" w:color="auto"/>
                    <w:bottom w:val="single" w:sz="6" w:space="0" w:color="auto"/>
                    <w:right w:val="single" w:sz="6" w:space="0" w:color="auto"/>
                  </w:tcBorders>
                  <w:hideMark/>
                </w:tcPr>
                <w:p w14:paraId="2F62562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RR</w:t>
                  </w:r>
                </w:p>
              </w:tc>
              <w:tc>
                <w:tcPr>
                  <w:tcW w:w="1187" w:type="dxa"/>
                  <w:tcBorders>
                    <w:top w:val="single" w:sz="6" w:space="0" w:color="auto"/>
                    <w:left w:val="single" w:sz="6" w:space="0" w:color="auto"/>
                    <w:bottom w:val="single" w:sz="6" w:space="0" w:color="auto"/>
                    <w:right w:val="single" w:sz="6" w:space="0" w:color="auto"/>
                  </w:tcBorders>
                  <w:hideMark/>
                </w:tcPr>
                <w:p w14:paraId="6A90E79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5410A31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499.9875 + n (0.0125)</w:t>
                  </w:r>
                </w:p>
              </w:tc>
              <w:tc>
                <w:tcPr>
                  <w:tcW w:w="1531" w:type="dxa"/>
                  <w:tcBorders>
                    <w:top w:val="single" w:sz="6" w:space="0" w:color="auto"/>
                    <w:left w:val="single" w:sz="6" w:space="0" w:color="auto"/>
                    <w:bottom w:val="single" w:sz="6" w:space="0" w:color="auto"/>
                    <w:right w:val="single" w:sz="6" w:space="0" w:color="auto"/>
                  </w:tcBorders>
                  <w:hideMark/>
                </w:tcPr>
                <w:p w14:paraId="1D4E1F33"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80</w:t>
                  </w:r>
                </w:p>
              </w:tc>
              <w:tc>
                <w:tcPr>
                  <w:tcW w:w="1701" w:type="dxa"/>
                  <w:tcBorders>
                    <w:top w:val="single" w:sz="6" w:space="0" w:color="auto"/>
                    <w:left w:val="single" w:sz="6" w:space="0" w:color="auto"/>
                    <w:bottom w:val="single" w:sz="6" w:space="0" w:color="auto"/>
                    <w:right w:val="single" w:sz="12" w:space="0" w:color="auto"/>
                  </w:tcBorders>
                  <w:hideMark/>
                </w:tcPr>
                <w:p w14:paraId="590F999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500.0000</w:t>
                  </w:r>
                  <w:r>
                    <w:rPr>
                      <w:rFonts w:cs="Arial"/>
                      <w:szCs w:val="20"/>
                      <w:lang w:val="en-GB" w:eastAsia="en-US"/>
                    </w:rPr>
                    <w:br/>
                    <w:t>500.9875</w:t>
                  </w:r>
                </w:p>
              </w:tc>
            </w:tr>
            <w:tr w:rsidR="00AA7E93" w14:paraId="49653290"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40A21B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lastRenderedPageBreak/>
                    <w:t>NN</w:t>
                  </w:r>
                </w:p>
              </w:tc>
              <w:tc>
                <w:tcPr>
                  <w:tcW w:w="3120" w:type="dxa"/>
                  <w:tcBorders>
                    <w:top w:val="single" w:sz="6" w:space="0" w:color="auto"/>
                    <w:left w:val="single" w:sz="6" w:space="0" w:color="auto"/>
                    <w:bottom w:val="single" w:sz="6" w:space="0" w:color="auto"/>
                    <w:right w:val="single" w:sz="6" w:space="0" w:color="auto"/>
                  </w:tcBorders>
                  <w:hideMark/>
                </w:tcPr>
                <w:p w14:paraId="53BD16C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(two frequency, base transmit) (see note 9)</w:t>
                  </w:r>
                </w:p>
              </w:tc>
              <w:tc>
                <w:tcPr>
                  <w:tcW w:w="1418" w:type="dxa"/>
                  <w:tcBorders>
                    <w:top w:val="single" w:sz="6" w:space="0" w:color="auto"/>
                    <w:left w:val="single" w:sz="6" w:space="0" w:color="auto"/>
                    <w:bottom w:val="single" w:sz="6" w:space="0" w:color="auto"/>
                    <w:right w:val="single" w:sz="6" w:space="0" w:color="auto"/>
                  </w:tcBorders>
                  <w:hideMark/>
                </w:tcPr>
                <w:p w14:paraId="181F458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500.99375</w:t>
                  </w:r>
                  <w:r>
                    <w:rPr>
                      <w:rFonts w:cs="Arial"/>
                      <w:szCs w:val="20"/>
                      <w:lang w:val="en-GB" w:eastAsia="en-US"/>
                    </w:rPr>
                    <w:br/>
                    <w:t>504.99375</w:t>
                  </w:r>
                </w:p>
              </w:tc>
              <w:tc>
                <w:tcPr>
                  <w:tcW w:w="1134" w:type="dxa"/>
                  <w:tcBorders>
                    <w:top w:val="single" w:sz="6" w:space="0" w:color="auto"/>
                    <w:left w:val="single" w:sz="6" w:space="0" w:color="auto"/>
                    <w:bottom w:val="single" w:sz="6" w:space="0" w:color="auto"/>
                    <w:right w:val="single" w:sz="6" w:space="0" w:color="auto"/>
                  </w:tcBorders>
                  <w:hideMark/>
                </w:tcPr>
                <w:p w14:paraId="02BA39B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SS</w:t>
                  </w:r>
                </w:p>
              </w:tc>
              <w:tc>
                <w:tcPr>
                  <w:tcW w:w="1187" w:type="dxa"/>
                  <w:tcBorders>
                    <w:top w:val="single" w:sz="6" w:space="0" w:color="auto"/>
                    <w:left w:val="single" w:sz="6" w:space="0" w:color="auto"/>
                    <w:bottom w:val="single" w:sz="6" w:space="0" w:color="auto"/>
                    <w:right w:val="single" w:sz="6" w:space="0" w:color="auto"/>
                  </w:tcBorders>
                  <w:hideMark/>
                </w:tcPr>
                <w:p w14:paraId="3D44B86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0635DF4" w14:textId="77777777" w:rsidR="00AA7E93" w:rsidRDefault="00AA7E93">
                  <w:pPr>
                    <w:widowControl w:val="0"/>
                    <w:tabs>
                      <w:tab w:val="left" w:pos="0"/>
                    </w:tabs>
                    <w:spacing w:before="40" w:after="120" w:line="240" w:lineRule="auto"/>
                    <w:ind w:right="-23"/>
                    <w:rPr>
                      <w:rFonts w:cs="Arial"/>
                      <w:szCs w:val="20"/>
                      <w:lang w:val="en-GB" w:eastAsia="en-US"/>
                    </w:rPr>
                  </w:pPr>
                  <w:r>
                    <w:rPr>
                      <w:rFonts w:cs="Arial"/>
                      <w:szCs w:val="20"/>
                      <w:lang w:val="en-GB" w:eastAsia="en-US"/>
                    </w:rPr>
                    <w:t>500.9875+ n (0.0125)</w:t>
                  </w:r>
                </w:p>
              </w:tc>
              <w:tc>
                <w:tcPr>
                  <w:tcW w:w="1531" w:type="dxa"/>
                  <w:tcBorders>
                    <w:top w:val="single" w:sz="6" w:space="0" w:color="auto"/>
                    <w:left w:val="single" w:sz="6" w:space="0" w:color="auto"/>
                    <w:bottom w:val="single" w:sz="6" w:space="0" w:color="auto"/>
                    <w:right w:val="single" w:sz="6" w:space="0" w:color="auto"/>
                  </w:tcBorders>
                  <w:hideMark/>
                </w:tcPr>
                <w:p w14:paraId="4F1820E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320</w:t>
                  </w:r>
                </w:p>
              </w:tc>
              <w:tc>
                <w:tcPr>
                  <w:tcW w:w="1701" w:type="dxa"/>
                  <w:tcBorders>
                    <w:top w:val="single" w:sz="6" w:space="0" w:color="auto"/>
                    <w:left w:val="single" w:sz="6" w:space="0" w:color="auto"/>
                    <w:bottom w:val="single" w:sz="6" w:space="0" w:color="auto"/>
                    <w:right w:val="single" w:sz="12" w:space="0" w:color="auto"/>
                  </w:tcBorders>
                  <w:hideMark/>
                </w:tcPr>
                <w:p w14:paraId="6BB2E76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501.0000</w:t>
                  </w:r>
                  <w:r>
                    <w:rPr>
                      <w:rFonts w:cs="Arial"/>
                      <w:szCs w:val="20"/>
                      <w:lang w:val="en-GB" w:eastAsia="en-US"/>
                    </w:rPr>
                    <w:br/>
                    <w:t>504.9875</w:t>
                  </w:r>
                </w:p>
              </w:tc>
            </w:tr>
            <w:tr w:rsidR="00AA7E93" w14:paraId="25D2D43F"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4A51A2C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OO</w:t>
                  </w:r>
                </w:p>
              </w:tc>
              <w:tc>
                <w:tcPr>
                  <w:tcW w:w="3120" w:type="dxa"/>
                  <w:tcBorders>
                    <w:top w:val="single" w:sz="6" w:space="0" w:color="auto"/>
                    <w:left w:val="single" w:sz="6" w:space="0" w:color="auto"/>
                    <w:bottom w:val="single" w:sz="6" w:space="0" w:color="auto"/>
                    <w:right w:val="single" w:sz="6" w:space="0" w:color="auto"/>
                  </w:tcBorders>
                  <w:hideMark/>
                </w:tcPr>
                <w:p w14:paraId="38DF0F7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60618AF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504.99375</w:t>
                  </w:r>
                  <w:r>
                    <w:rPr>
                      <w:rFonts w:cs="Arial"/>
                      <w:szCs w:val="20"/>
                      <w:lang w:val="en-GB" w:eastAsia="en-US"/>
                    </w:rPr>
                    <w:br/>
                    <w:t>507.01875</w:t>
                  </w:r>
                </w:p>
              </w:tc>
              <w:tc>
                <w:tcPr>
                  <w:tcW w:w="1134" w:type="dxa"/>
                  <w:tcBorders>
                    <w:top w:val="single" w:sz="6" w:space="0" w:color="auto"/>
                    <w:left w:val="single" w:sz="6" w:space="0" w:color="auto"/>
                    <w:bottom w:val="single" w:sz="6" w:space="0" w:color="auto"/>
                    <w:right w:val="single" w:sz="6" w:space="0" w:color="auto"/>
                  </w:tcBorders>
                  <w:hideMark/>
                </w:tcPr>
                <w:p w14:paraId="191D292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TT</w:t>
                  </w:r>
                </w:p>
              </w:tc>
              <w:tc>
                <w:tcPr>
                  <w:tcW w:w="1187" w:type="dxa"/>
                  <w:tcBorders>
                    <w:top w:val="single" w:sz="6" w:space="0" w:color="auto"/>
                    <w:left w:val="single" w:sz="6" w:space="0" w:color="auto"/>
                    <w:bottom w:val="single" w:sz="6" w:space="0" w:color="auto"/>
                    <w:right w:val="single" w:sz="6" w:space="0" w:color="auto"/>
                  </w:tcBorders>
                  <w:hideMark/>
                </w:tcPr>
                <w:p w14:paraId="0EC0ADF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0DD91D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504.9875 + n (0.0125)</w:t>
                  </w:r>
                </w:p>
              </w:tc>
              <w:tc>
                <w:tcPr>
                  <w:tcW w:w="1531" w:type="dxa"/>
                  <w:tcBorders>
                    <w:top w:val="single" w:sz="6" w:space="0" w:color="auto"/>
                    <w:left w:val="single" w:sz="6" w:space="0" w:color="auto"/>
                    <w:bottom w:val="single" w:sz="6" w:space="0" w:color="auto"/>
                    <w:right w:val="single" w:sz="6" w:space="0" w:color="auto"/>
                  </w:tcBorders>
                  <w:hideMark/>
                </w:tcPr>
                <w:p w14:paraId="1F3029F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162</w:t>
                  </w:r>
                </w:p>
              </w:tc>
              <w:tc>
                <w:tcPr>
                  <w:tcW w:w="1701" w:type="dxa"/>
                  <w:tcBorders>
                    <w:top w:val="single" w:sz="6" w:space="0" w:color="auto"/>
                    <w:left w:val="single" w:sz="6" w:space="0" w:color="auto"/>
                    <w:bottom w:val="single" w:sz="6" w:space="0" w:color="auto"/>
                    <w:right w:val="single" w:sz="12" w:space="0" w:color="auto"/>
                  </w:tcBorders>
                  <w:hideMark/>
                </w:tcPr>
                <w:p w14:paraId="15C79CB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505.0000</w:t>
                  </w:r>
                  <w:r>
                    <w:rPr>
                      <w:rFonts w:cs="Arial"/>
                      <w:szCs w:val="20"/>
                      <w:lang w:val="en-GB" w:eastAsia="en-US"/>
                    </w:rPr>
                    <w:br/>
                    <w:t>507.0125</w:t>
                  </w:r>
                </w:p>
              </w:tc>
            </w:tr>
            <w:tr w:rsidR="00AA7E93" w14:paraId="1B6AC79A"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2425333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PP</w:t>
                  </w:r>
                </w:p>
              </w:tc>
              <w:tc>
                <w:tcPr>
                  <w:tcW w:w="3120" w:type="dxa"/>
                  <w:tcBorders>
                    <w:top w:val="single" w:sz="6" w:space="0" w:color="auto"/>
                    <w:left w:val="single" w:sz="6" w:space="0" w:color="auto"/>
                    <w:bottom w:val="single" w:sz="6" w:space="0" w:color="auto"/>
                    <w:right w:val="single" w:sz="6" w:space="0" w:color="auto"/>
                  </w:tcBorders>
                  <w:hideMark/>
                </w:tcPr>
                <w:p w14:paraId="422B16B4"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transmit)</w:t>
                  </w:r>
                </w:p>
              </w:tc>
              <w:tc>
                <w:tcPr>
                  <w:tcW w:w="1418" w:type="dxa"/>
                  <w:tcBorders>
                    <w:top w:val="single" w:sz="6" w:space="0" w:color="auto"/>
                    <w:left w:val="single" w:sz="6" w:space="0" w:color="auto"/>
                    <w:bottom w:val="single" w:sz="6" w:space="0" w:color="auto"/>
                    <w:right w:val="single" w:sz="6" w:space="0" w:color="auto"/>
                  </w:tcBorders>
                  <w:hideMark/>
                </w:tcPr>
                <w:p w14:paraId="0A12E10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507.01875</w:t>
                  </w:r>
                  <w:r>
                    <w:rPr>
                      <w:rFonts w:cs="Arial"/>
                      <w:szCs w:val="20"/>
                      <w:lang w:val="en-GB" w:eastAsia="en-US"/>
                    </w:rPr>
                    <w:br/>
                    <w:t>509.54375</w:t>
                  </w:r>
                </w:p>
              </w:tc>
              <w:tc>
                <w:tcPr>
                  <w:tcW w:w="1134" w:type="dxa"/>
                  <w:tcBorders>
                    <w:top w:val="single" w:sz="6" w:space="0" w:color="auto"/>
                    <w:left w:val="single" w:sz="6" w:space="0" w:color="auto"/>
                    <w:bottom w:val="single" w:sz="6" w:space="0" w:color="auto"/>
                    <w:right w:val="single" w:sz="6" w:space="0" w:color="auto"/>
                  </w:tcBorders>
                  <w:hideMark/>
                </w:tcPr>
                <w:p w14:paraId="11501AD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UU</w:t>
                  </w:r>
                </w:p>
              </w:tc>
              <w:tc>
                <w:tcPr>
                  <w:tcW w:w="1187" w:type="dxa"/>
                  <w:tcBorders>
                    <w:top w:val="single" w:sz="6" w:space="0" w:color="auto"/>
                    <w:left w:val="single" w:sz="6" w:space="0" w:color="auto"/>
                    <w:bottom w:val="single" w:sz="6" w:space="0" w:color="auto"/>
                    <w:right w:val="single" w:sz="6" w:space="0" w:color="auto"/>
                  </w:tcBorders>
                  <w:hideMark/>
                </w:tcPr>
                <w:p w14:paraId="4921AA2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2B88848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507.0125 + n (0.0125)</w:t>
                  </w:r>
                </w:p>
              </w:tc>
              <w:tc>
                <w:tcPr>
                  <w:tcW w:w="1531" w:type="dxa"/>
                  <w:tcBorders>
                    <w:top w:val="single" w:sz="6" w:space="0" w:color="auto"/>
                    <w:left w:val="single" w:sz="6" w:space="0" w:color="auto"/>
                    <w:bottom w:val="single" w:sz="6" w:space="0" w:color="auto"/>
                    <w:right w:val="single" w:sz="6" w:space="0" w:color="auto"/>
                  </w:tcBorders>
                  <w:hideMark/>
                </w:tcPr>
                <w:p w14:paraId="2F515FB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202</w:t>
                  </w:r>
                </w:p>
              </w:tc>
              <w:tc>
                <w:tcPr>
                  <w:tcW w:w="1701" w:type="dxa"/>
                  <w:tcBorders>
                    <w:top w:val="single" w:sz="6" w:space="0" w:color="auto"/>
                    <w:left w:val="single" w:sz="6" w:space="0" w:color="auto"/>
                    <w:bottom w:val="single" w:sz="6" w:space="0" w:color="auto"/>
                    <w:right w:val="single" w:sz="12" w:space="0" w:color="auto"/>
                  </w:tcBorders>
                  <w:hideMark/>
                </w:tcPr>
                <w:p w14:paraId="5FD221E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507.0250</w:t>
                  </w:r>
                  <w:r>
                    <w:rPr>
                      <w:rFonts w:cs="Arial"/>
                      <w:szCs w:val="20"/>
                      <w:lang w:val="en-GB" w:eastAsia="en-US"/>
                    </w:rPr>
                    <w:br/>
                    <w:t>509.5375</w:t>
                  </w:r>
                </w:p>
              </w:tc>
            </w:tr>
            <w:tr w:rsidR="00AA7E93" w14:paraId="718CA8BA"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6A78130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QQ</w:t>
                  </w:r>
                </w:p>
              </w:tc>
              <w:tc>
                <w:tcPr>
                  <w:tcW w:w="3120" w:type="dxa"/>
                  <w:tcBorders>
                    <w:top w:val="single" w:sz="6" w:space="0" w:color="auto"/>
                    <w:left w:val="single" w:sz="6" w:space="0" w:color="auto"/>
                    <w:bottom w:val="single" w:sz="6" w:space="0" w:color="auto"/>
                    <w:right w:val="single" w:sz="6" w:space="0" w:color="auto"/>
                  </w:tcBorders>
                  <w:hideMark/>
                </w:tcPr>
                <w:p w14:paraId="1B7E89E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(single frequency) (see note 1)</w:t>
                  </w:r>
                </w:p>
              </w:tc>
              <w:tc>
                <w:tcPr>
                  <w:tcW w:w="1418" w:type="dxa"/>
                  <w:tcBorders>
                    <w:top w:val="single" w:sz="6" w:space="0" w:color="auto"/>
                    <w:left w:val="single" w:sz="6" w:space="0" w:color="auto"/>
                    <w:bottom w:val="single" w:sz="6" w:space="0" w:color="auto"/>
                    <w:right w:val="single" w:sz="6" w:space="0" w:color="auto"/>
                  </w:tcBorders>
                  <w:hideMark/>
                </w:tcPr>
                <w:p w14:paraId="607C0EC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509.54375</w:t>
                  </w:r>
                  <w:r>
                    <w:rPr>
                      <w:rFonts w:cs="Arial"/>
                      <w:szCs w:val="20"/>
                      <w:lang w:val="en-GB" w:eastAsia="en-US"/>
                    </w:rPr>
                    <w:br/>
                    <w:t>509.99375</w:t>
                  </w:r>
                </w:p>
              </w:tc>
              <w:tc>
                <w:tcPr>
                  <w:tcW w:w="1134" w:type="dxa"/>
                  <w:tcBorders>
                    <w:top w:val="single" w:sz="6" w:space="0" w:color="auto"/>
                    <w:left w:val="single" w:sz="6" w:space="0" w:color="auto"/>
                    <w:bottom w:val="single" w:sz="6" w:space="0" w:color="auto"/>
                    <w:right w:val="single" w:sz="6" w:space="0" w:color="auto"/>
                  </w:tcBorders>
                  <w:hideMark/>
                </w:tcPr>
                <w:p w14:paraId="1250795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6" w:space="0" w:color="auto"/>
                    <w:right w:val="single" w:sz="6" w:space="0" w:color="auto"/>
                  </w:tcBorders>
                  <w:hideMark/>
                </w:tcPr>
                <w:p w14:paraId="344B87D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50A66A3D"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509.5375 + n (0.0125)</w:t>
                  </w:r>
                </w:p>
              </w:tc>
              <w:tc>
                <w:tcPr>
                  <w:tcW w:w="1531" w:type="dxa"/>
                  <w:tcBorders>
                    <w:top w:val="single" w:sz="6" w:space="0" w:color="auto"/>
                    <w:left w:val="single" w:sz="6" w:space="0" w:color="auto"/>
                    <w:bottom w:val="single" w:sz="6" w:space="0" w:color="auto"/>
                    <w:right w:val="single" w:sz="6" w:space="0" w:color="auto"/>
                  </w:tcBorders>
                  <w:hideMark/>
                </w:tcPr>
                <w:p w14:paraId="1B46960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36</w:t>
                  </w:r>
                </w:p>
              </w:tc>
              <w:tc>
                <w:tcPr>
                  <w:tcW w:w="1701" w:type="dxa"/>
                  <w:tcBorders>
                    <w:top w:val="single" w:sz="6" w:space="0" w:color="auto"/>
                    <w:left w:val="single" w:sz="6" w:space="0" w:color="auto"/>
                    <w:bottom w:val="single" w:sz="6" w:space="0" w:color="auto"/>
                    <w:right w:val="single" w:sz="12" w:space="0" w:color="auto"/>
                  </w:tcBorders>
                  <w:hideMark/>
                </w:tcPr>
                <w:p w14:paraId="7DF66BA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509.5500</w:t>
                  </w:r>
                  <w:r>
                    <w:rPr>
                      <w:rFonts w:cs="Arial"/>
                      <w:szCs w:val="20"/>
                      <w:lang w:val="en-GB" w:eastAsia="en-US"/>
                    </w:rPr>
                    <w:br/>
                    <w:t>509.9875</w:t>
                  </w:r>
                </w:p>
              </w:tc>
            </w:tr>
            <w:tr w:rsidR="00AA7E93" w14:paraId="54ADA0B7"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C31D74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RR</w:t>
                  </w:r>
                </w:p>
              </w:tc>
              <w:tc>
                <w:tcPr>
                  <w:tcW w:w="3120" w:type="dxa"/>
                  <w:tcBorders>
                    <w:top w:val="single" w:sz="6" w:space="0" w:color="auto"/>
                    <w:left w:val="single" w:sz="6" w:space="0" w:color="auto"/>
                    <w:bottom w:val="single" w:sz="6" w:space="0" w:color="auto"/>
                    <w:right w:val="single" w:sz="6" w:space="0" w:color="auto"/>
                  </w:tcBorders>
                  <w:hideMark/>
                </w:tcPr>
                <w:p w14:paraId="5F1D052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775A954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509.99375</w:t>
                  </w:r>
                  <w:r>
                    <w:rPr>
                      <w:rFonts w:cs="Arial"/>
                      <w:szCs w:val="20"/>
                      <w:lang w:val="en-GB" w:eastAsia="en-US"/>
                    </w:rPr>
                    <w:br/>
                    <w:t>510.99375</w:t>
                  </w:r>
                </w:p>
              </w:tc>
              <w:tc>
                <w:tcPr>
                  <w:tcW w:w="1134" w:type="dxa"/>
                  <w:tcBorders>
                    <w:top w:val="single" w:sz="6" w:space="0" w:color="auto"/>
                    <w:left w:val="single" w:sz="6" w:space="0" w:color="auto"/>
                    <w:bottom w:val="single" w:sz="6" w:space="0" w:color="auto"/>
                    <w:right w:val="single" w:sz="6" w:space="0" w:color="auto"/>
                  </w:tcBorders>
                  <w:hideMark/>
                </w:tcPr>
                <w:p w14:paraId="691CEFB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MM</w:t>
                  </w:r>
                </w:p>
              </w:tc>
              <w:tc>
                <w:tcPr>
                  <w:tcW w:w="1187" w:type="dxa"/>
                  <w:tcBorders>
                    <w:top w:val="single" w:sz="6" w:space="0" w:color="auto"/>
                    <w:left w:val="single" w:sz="6" w:space="0" w:color="auto"/>
                    <w:bottom w:val="single" w:sz="6" w:space="0" w:color="auto"/>
                    <w:right w:val="single" w:sz="6" w:space="0" w:color="auto"/>
                  </w:tcBorders>
                  <w:hideMark/>
                </w:tcPr>
                <w:p w14:paraId="16266C7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5B1B2721"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509.9875 + n (0.0125)</w:t>
                  </w:r>
                </w:p>
              </w:tc>
              <w:tc>
                <w:tcPr>
                  <w:tcW w:w="1531" w:type="dxa"/>
                  <w:tcBorders>
                    <w:top w:val="single" w:sz="6" w:space="0" w:color="auto"/>
                    <w:left w:val="single" w:sz="6" w:space="0" w:color="auto"/>
                    <w:bottom w:val="single" w:sz="6" w:space="0" w:color="auto"/>
                    <w:right w:val="single" w:sz="6" w:space="0" w:color="auto"/>
                  </w:tcBorders>
                  <w:hideMark/>
                </w:tcPr>
                <w:p w14:paraId="3BB9156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80</w:t>
                  </w:r>
                </w:p>
              </w:tc>
              <w:tc>
                <w:tcPr>
                  <w:tcW w:w="1701" w:type="dxa"/>
                  <w:tcBorders>
                    <w:top w:val="single" w:sz="6" w:space="0" w:color="auto"/>
                    <w:left w:val="single" w:sz="6" w:space="0" w:color="auto"/>
                    <w:bottom w:val="single" w:sz="6" w:space="0" w:color="auto"/>
                    <w:right w:val="single" w:sz="12" w:space="0" w:color="auto"/>
                  </w:tcBorders>
                  <w:hideMark/>
                </w:tcPr>
                <w:p w14:paraId="4676BFE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510.0000</w:t>
                  </w:r>
                  <w:r>
                    <w:rPr>
                      <w:rFonts w:cs="Arial"/>
                      <w:szCs w:val="20"/>
                      <w:lang w:val="en-GB" w:eastAsia="en-US"/>
                    </w:rPr>
                    <w:br/>
                    <w:t>510.9875</w:t>
                  </w:r>
                </w:p>
              </w:tc>
            </w:tr>
            <w:tr w:rsidR="00AA7E93" w14:paraId="5784DBB8"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23FB807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SS</w:t>
                  </w:r>
                </w:p>
              </w:tc>
              <w:tc>
                <w:tcPr>
                  <w:tcW w:w="3120" w:type="dxa"/>
                  <w:tcBorders>
                    <w:top w:val="single" w:sz="6" w:space="0" w:color="auto"/>
                    <w:left w:val="single" w:sz="6" w:space="0" w:color="auto"/>
                    <w:bottom w:val="single" w:sz="6" w:space="0" w:color="auto"/>
                    <w:right w:val="single" w:sz="6" w:space="0" w:color="auto"/>
                  </w:tcBorders>
                  <w:hideMark/>
                </w:tcPr>
                <w:p w14:paraId="027C5C5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 xml:space="preserve">(two frequency, base receive) (see note 9) </w:t>
                  </w:r>
                </w:p>
              </w:tc>
              <w:tc>
                <w:tcPr>
                  <w:tcW w:w="1418" w:type="dxa"/>
                  <w:tcBorders>
                    <w:top w:val="single" w:sz="6" w:space="0" w:color="auto"/>
                    <w:left w:val="single" w:sz="6" w:space="0" w:color="auto"/>
                    <w:bottom w:val="single" w:sz="6" w:space="0" w:color="auto"/>
                    <w:right w:val="single" w:sz="6" w:space="0" w:color="auto"/>
                  </w:tcBorders>
                  <w:hideMark/>
                </w:tcPr>
                <w:p w14:paraId="77EEC91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510.99375</w:t>
                  </w:r>
                  <w:r>
                    <w:rPr>
                      <w:rFonts w:cs="Arial"/>
                      <w:szCs w:val="20"/>
                      <w:lang w:val="en-GB" w:eastAsia="en-US"/>
                    </w:rPr>
                    <w:br/>
                    <w:t>514.99375</w:t>
                  </w:r>
                </w:p>
              </w:tc>
              <w:tc>
                <w:tcPr>
                  <w:tcW w:w="1134" w:type="dxa"/>
                  <w:tcBorders>
                    <w:top w:val="single" w:sz="6" w:space="0" w:color="auto"/>
                    <w:left w:val="single" w:sz="6" w:space="0" w:color="auto"/>
                    <w:bottom w:val="single" w:sz="6" w:space="0" w:color="auto"/>
                    <w:right w:val="single" w:sz="6" w:space="0" w:color="auto"/>
                  </w:tcBorders>
                  <w:hideMark/>
                </w:tcPr>
                <w:p w14:paraId="1EA5A1F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NN</w:t>
                  </w:r>
                </w:p>
              </w:tc>
              <w:tc>
                <w:tcPr>
                  <w:tcW w:w="1187" w:type="dxa"/>
                  <w:tcBorders>
                    <w:top w:val="single" w:sz="6" w:space="0" w:color="auto"/>
                    <w:left w:val="single" w:sz="6" w:space="0" w:color="auto"/>
                    <w:bottom w:val="single" w:sz="6" w:space="0" w:color="auto"/>
                    <w:right w:val="single" w:sz="6" w:space="0" w:color="auto"/>
                  </w:tcBorders>
                  <w:hideMark/>
                </w:tcPr>
                <w:p w14:paraId="5343886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60D5959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510.9875 + n (0.0125)</w:t>
                  </w:r>
                </w:p>
              </w:tc>
              <w:tc>
                <w:tcPr>
                  <w:tcW w:w="1531" w:type="dxa"/>
                  <w:tcBorders>
                    <w:top w:val="single" w:sz="6" w:space="0" w:color="auto"/>
                    <w:left w:val="single" w:sz="6" w:space="0" w:color="auto"/>
                    <w:bottom w:val="single" w:sz="6" w:space="0" w:color="auto"/>
                    <w:right w:val="single" w:sz="6" w:space="0" w:color="auto"/>
                  </w:tcBorders>
                  <w:hideMark/>
                </w:tcPr>
                <w:p w14:paraId="7CD7989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320</w:t>
                  </w:r>
                </w:p>
              </w:tc>
              <w:tc>
                <w:tcPr>
                  <w:tcW w:w="1701" w:type="dxa"/>
                  <w:tcBorders>
                    <w:top w:val="single" w:sz="6" w:space="0" w:color="auto"/>
                    <w:left w:val="single" w:sz="6" w:space="0" w:color="auto"/>
                    <w:bottom w:val="single" w:sz="6" w:space="0" w:color="auto"/>
                    <w:right w:val="single" w:sz="12" w:space="0" w:color="auto"/>
                  </w:tcBorders>
                  <w:hideMark/>
                </w:tcPr>
                <w:p w14:paraId="7605CC8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511.0000</w:t>
                  </w:r>
                  <w:r>
                    <w:rPr>
                      <w:rFonts w:cs="Arial"/>
                      <w:szCs w:val="20"/>
                      <w:lang w:val="en-GB" w:eastAsia="en-US"/>
                    </w:rPr>
                    <w:br/>
                    <w:t>514.9875</w:t>
                  </w:r>
                </w:p>
              </w:tc>
            </w:tr>
            <w:tr w:rsidR="00AA7E93" w14:paraId="6C98A159"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1EEDF8F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TT</w:t>
                  </w:r>
                </w:p>
              </w:tc>
              <w:tc>
                <w:tcPr>
                  <w:tcW w:w="3120" w:type="dxa"/>
                  <w:tcBorders>
                    <w:top w:val="single" w:sz="6" w:space="0" w:color="auto"/>
                    <w:left w:val="single" w:sz="6" w:space="0" w:color="auto"/>
                    <w:bottom w:val="single" w:sz="6" w:space="0" w:color="auto"/>
                    <w:right w:val="single" w:sz="6" w:space="0" w:color="auto"/>
                  </w:tcBorders>
                  <w:hideMark/>
                </w:tcPr>
                <w:p w14:paraId="2A75BEE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02297837"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514.99375</w:t>
                  </w:r>
                  <w:r>
                    <w:rPr>
                      <w:rFonts w:cs="Arial"/>
                      <w:szCs w:val="20"/>
                      <w:lang w:val="en-GB" w:eastAsia="en-US"/>
                    </w:rPr>
                    <w:br/>
                    <w:t>517.01875</w:t>
                  </w:r>
                </w:p>
              </w:tc>
              <w:tc>
                <w:tcPr>
                  <w:tcW w:w="1134" w:type="dxa"/>
                  <w:tcBorders>
                    <w:top w:val="single" w:sz="6" w:space="0" w:color="auto"/>
                    <w:left w:val="single" w:sz="6" w:space="0" w:color="auto"/>
                    <w:bottom w:val="single" w:sz="6" w:space="0" w:color="auto"/>
                    <w:right w:val="single" w:sz="6" w:space="0" w:color="auto"/>
                  </w:tcBorders>
                  <w:hideMark/>
                </w:tcPr>
                <w:p w14:paraId="0BF596B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OO</w:t>
                  </w:r>
                </w:p>
              </w:tc>
              <w:tc>
                <w:tcPr>
                  <w:tcW w:w="1187" w:type="dxa"/>
                  <w:tcBorders>
                    <w:top w:val="single" w:sz="6" w:space="0" w:color="auto"/>
                    <w:left w:val="single" w:sz="6" w:space="0" w:color="auto"/>
                    <w:bottom w:val="single" w:sz="6" w:space="0" w:color="auto"/>
                    <w:right w:val="single" w:sz="6" w:space="0" w:color="auto"/>
                  </w:tcBorders>
                  <w:hideMark/>
                </w:tcPr>
                <w:p w14:paraId="67A3E84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16132862"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514.9875 + n (0.0125)</w:t>
                  </w:r>
                </w:p>
              </w:tc>
              <w:tc>
                <w:tcPr>
                  <w:tcW w:w="1531" w:type="dxa"/>
                  <w:tcBorders>
                    <w:top w:val="single" w:sz="6" w:space="0" w:color="auto"/>
                    <w:left w:val="single" w:sz="6" w:space="0" w:color="auto"/>
                    <w:bottom w:val="single" w:sz="6" w:space="0" w:color="auto"/>
                    <w:right w:val="single" w:sz="6" w:space="0" w:color="auto"/>
                  </w:tcBorders>
                  <w:hideMark/>
                </w:tcPr>
                <w:p w14:paraId="7800E30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162</w:t>
                  </w:r>
                </w:p>
              </w:tc>
              <w:tc>
                <w:tcPr>
                  <w:tcW w:w="1701" w:type="dxa"/>
                  <w:tcBorders>
                    <w:top w:val="single" w:sz="6" w:space="0" w:color="auto"/>
                    <w:left w:val="single" w:sz="6" w:space="0" w:color="auto"/>
                    <w:bottom w:val="single" w:sz="6" w:space="0" w:color="auto"/>
                    <w:right w:val="single" w:sz="12" w:space="0" w:color="auto"/>
                  </w:tcBorders>
                  <w:hideMark/>
                </w:tcPr>
                <w:p w14:paraId="55139DC6"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515.0000</w:t>
                  </w:r>
                  <w:r>
                    <w:rPr>
                      <w:rFonts w:cs="Arial"/>
                      <w:szCs w:val="20"/>
                      <w:lang w:val="en-GB" w:eastAsia="en-US"/>
                    </w:rPr>
                    <w:br/>
                    <w:t>517.0125</w:t>
                  </w:r>
                </w:p>
              </w:tc>
            </w:tr>
            <w:tr w:rsidR="00AA7E93" w14:paraId="4071F86E" w14:textId="77777777">
              <w:trPr>
                <w:cantSplit/>
                <w:trHeight w:val="580"/>
                <w:jc w:val="center"/>
              </w:trPr>
              <w:tc>
                <w:tcPr>
                  <w:tcW w:w="1101" w:type="dxa"/>
                  <w:tcBorders>
                    <w:top w:val="single" w:sz="6" w:space="0" w:color="auto"/>
                    <w:left w:val="single" w:sz="12" w:space="0" w:color="auto"/>
                    <w:bottom w:val="single" w:sz="6" w:space="0" w:color="auto"/>
                    <w:right w:val="single" w:sz="6" w:space="0" w:color="auto"/>
                  </w:tcBorders>
                  <w:hideMark/>
                </w:tcPr>
                <w:p w14:paraId="3672CD2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UU</w:t>
                  </w:r>
                </w:p>
              </w:tc>
              <w:tc>
                <w:tcPr>
                  <w:tcW w:w="3120" w:type="dxa"/>
                  <w:tcBorders>
                    <w:top w:val="single" w:sz="6" w:space="0" w:color="auto"/>
                    <w:left w:val="single" w:sz="6" w:space="0" w:color="auto"/>
                    <w:bottom w:val="single" w:sz="6" w:space="0" w:color="auto"/>
                    <w:right w:val="single" w:sz="6" w:space="0" w:color="auto"/>
                  </w:tcBorders>
                  <w:hideMark/>
                </w:tcPr>
                <w:p w14:paraId="6D35AB9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service</w:t>
                  </w:r>
                  <w:r>
                    <w:rPr>
                      <w:rFonts w:cs="Arial"/>
                      <w:szCs w:val="20"/>
                      <w:lang w:val="en-GB" w:eastAsia="en-US"/>
                    </w:rPr>
                    <w:br/>
                    <w:t>(two frequency, base receive)</w:t>
                  </w:r>
                </w:p>
              </w:tc>
              <w:tc>
                <w:tcPr>
                  <w:tcW w:w="1418" w:type="dxa"/>
                  <w:tcBorders>
                    <w:top w:val="single" w:sz="6" w:space="0" w:color="auto"/>
                    <w:left w:val="single" w:sz="6" w:space="0" w:color="auto"/>
                    <w:bottom w:val="single" w:sz="6" w:space="0" w:color="auto"/>
                    <w:right w:val="single" w:sz="6" w:space="0" w:color="auto"/>
                  </w:tcBorders>
                  <w:hideMark/>
                </w:tcPr>
                <w:p w14:paraId="3F045F7A"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517.01875</w:t>
                  </w:r>
                  <w:r>
                    <w:rPr>
                      <w:rFonts w:cs="Arial"/>
                      <w:szCs w:val="20"/>
                      <w:lang w:val="en-GB" w:eastAsia="en-US"/>
                    </w:rPr>
                    <w:br/>
                    <w:t>519.54375</w:t>
                  </w:r>
                </w:p>
              </w:tc>
              <w:tc>
                <w:tcPr>
                  <w:tcW w:w="1134" w:type="dxa"/>
                  <w:tcBorders>
                    <w:top w:val="single" w:sz="6" w:space="0" w:color="auto"/>
                    <w:left w:val="single" w:sz="6" w:space="0" w:color="auto"/>
                    <w:bottom w:val="single" w:sz="6" w:space="0" w:color="auto"/>
                    <w:right w:val="single" w:sz="6" w:space="0" w:color="auto"/>
                  </w:tcBorders>
                  <w:hideMark/>
                </w:tcPr>
                <w:p w14:paraId="25CF97F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PP</w:t>
                  </w:r>
                </w:p>
              </w:tc>
              <w:tc>
                <w:tcPr>
                  <w:tcW w:w="1187" w:type="dxa"/>
                  <w:tcBorders>
                    <w:top w:val="single" w:sz="6" w:space="0" w:color="auto"/>
                    <w:left w:val="single" w:sz="6" w:space="0" w:color="auto"/>
                    <w:bottom w:val="single" w:sz="6" w:space="0" w:color="auto"/>
                    <w:right w:val="single" w:sz="6" w:space="0" w:color="auto"/>
                  </w:tcBorders>
                  <w:hideMark/>
                </w:tcPr>
                <w:p w14:paraId="2805FE5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6" w:space="0" w:color="auto"/>
                    <w:right w:val="single" w:sz="6" w:space="0" w:color="auto"/>
                  </w:tcBorders>
                  <w:hideMark/>
                </w:tcPr>
                <w:p w14:paraId="08FAB25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517.0125 + n (0.0125)</w:t>
                  </w:r>
                </w:p>
              </w:tc>
              <w:tc>
                <w:tcPr>
                  <w:tcW w:w="1531" w:type="dxa"/>
                  <w:tcBorders>
                    <w:top w:val="single" w:sz="6" w:space="0" w:color="auto"/>
                    <w:left w:val="single" w:sz="6" w:space="0" w:color="auto"/>
                    <w:bottom w:val="single" w:sz="6" w:space="0" w:color="auto"/>
                    <w:right w:val="single" w:sz="6" w:space="0" w:color="auto"/>
                  </w:tcBorders>
                  <w:hideMark/>
                </w:tcPr>
                <w:p w14:paraId="149759B8"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202</w:t>
                  </w:r>
                </w:p>
              </w:tc>
              <w:tc>
                <w:tcPr>
                  <w:tcW w:w="1701" w:type="dxa"/>
                  <w:tcBorders>
                    <w:top w:val="single" w:sz="6" w:space="0" w:color="auto"/>
                    <w:left w:val="single" w:sz="6" w:space="0" w:color="auto"/>
                    <w:bottom w:val="single" w:sz="6" w:space="0" w:color="auto"/>
                    <w:right w:val="single" w:sz="12" w:space="0" w:color="auto"/>
                  </w:tcBorders>
                  <w:hideMark/>
                </w:tcPr>
                <w:p w14:paraId="0D59933B"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517.0250</w:t>
                  </w:r>
                  <w:r>
                    <w:rPr>
                      <w:rFonts w:cs="Arial"/>
                      <w:szCs w:val="20"/>
                      <w:lang w:val="en-GB" w:eastAsia="en-US"/>
                    </w:rPr>
                    <w:br/>
                    <w:t>519.5375</w:t>
                  </w:r>
                </w:p>
              </w:tc>
            </w:tr>
            <w:tr w:rsidR="00AA7E93" w14:paraId="31D948CF" w14:textId="77777777">
              <w:trPr>
                <w:cantSplit/>
                <w:trHeight w:val="580"/>
                <w:jc w:val="center"/>
              </w:trPr>
              <w:tc>
                <w:tcPr>
                  <w:tcW w:w="1101" w:type="dxa"/>
                  <w:tcBorders>
                    <w:top w:val="single" w:sz="6" w:space="0" w:color="auto"/>
                    <w:left w:val="single" w:sz="12" w:space="0" w:color="auto"/>
                    <w:bottom w:val="single" w:sz="12" w:space="0" w:color="auto"/>
                    <w:right w:val="single" w:sz="6" w:space="0" w:color="auto"/>
                  </w:tcBorders>
                  <w:hideMark/>
                </w:tcPr>
                <w:p w14:paraId="6F545E1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VV</w:t>
                  </w:r>
                </w:p>
              </w:tc>
              <w:tc>
                <w:tcPr>
                  <w:tcW w:w="3120" w:type="dxa"/>
                  <w:tcBorders>
                    <w:top w:val="single" w:sz="6" w:space="0" w:color="auto"/>
                    <w:left w:val="single" w:sz="6" w:space="0" w:color="auto"/>
                    <w:bottom w:val="single" w:sz="12" w:space="0" w:color="auto"/>
                    <w:right w:val="single" w:sz="6" w:space="0" w:color="auto"/>
                  </w:tcBorders>
                  <w:hideMark/>
                </w:tcPr>
                <w:p w14:paraId="12A97E4E"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Land mobile + fixed services</w:t>
                  </w:r>
                  <w:r>
                    <w:rPr>
                      <w:rFonts w:cs="Arial"/>
                      <w:szCs w:val="20"/>
                      <w:lang w:val="en-GB" w:eastAsia="en-US"/>
                    </w:rPr>
                    <w:br/>
                    <w:t>(single frequency) (see note 1)</w:t>
                  </w:r>
                </w:p>
              </w:tc>
              <w:tc>
                <w:tcPr>
                  <w:tcW w:w="1418" w:type="dxa"/>
                  <w:tcBorders>
                    <w:top w:val="single" w:sz="6" w:space="0" w:color="auto"/>
                    <w:left w:val="single" w:sz="6" w:space="0" w:color="auto"/>
                    <w:bottom w:val="single" w:sz="12" w:space="0" w:color="auto"/>
                    <w:right w:val="single" w:sz="6" w:space="0" w:color="auto"/>
                  </w:tcBorders>
                  <w:hideMark/>
                </w:tcPr>
                <w:p w14:paraId="0B5F3ECC"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519.54375</w:t>
                  </w:r>
                  <w:r>
                    <w:rPr>
                      <w:rFonts w:cs="Arial"/>
                      <w:szCs w:val="20"/>
                      <w:lang w:val="en-GB" w:eastAsia="en-US"/>
                    </w:rPr>
                    <w:br/>
                    <w:t>520.0000</w:t>
                  </w:r>
                </w:p>
              </w:tc>
              <w:tc>
                <w:tcPr>
                  <w:tcW w:w="1134" w:type="dxa"/>
                  <w:tcBorders>
                    <w:top w:val="single" w:sz="6" w:space="0" w:color="auto"/>
                    <w:left w:val="single" w:sz="6" w:space="0" w:color="auto"/>
                    <w:bottom w:val="single" w:sz="12" w:space="0" w:color="auto"/>
                    <w:right w:val="single" w:sz="6" w:space="0" w:color="auto"/>
                  </w:tcBorders>
                  <w:hideMark/>
                </w:tcPr>
                <w:p w14:paraId="5FF8BE0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w:t>
                  </w:r>
                </w:p>
              </w:tc>
              <w:tc>
                <w:tcPr>
                  <w:tcW w:w="1187" w:type="dxa"/>
                  <w:tcBorders>
                    <w:top w:val="single" w:sz="6" w:space="0" w:color="auto"/>
                    <w:left w:val="single" w:sz="6" w:space="0" w:color="auto"/>
                    <w:bottom w:val="single" w:sz="12" w:space="0" w:color="auto"/>
                    <w:right w:val="single" w:sz="6" w:space="0" w:color="auto"/>
                  </w:tcBorders>
                  <w:hideMark/>
                </w:tcPr>
                <w:p w14:paraId="649EC29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12.5</w:t>
                  </w:r>
                </w:p>
              </w:tc>
              <w:tc>
                <w:tcPr>
                  <w:tcW w:w="2268" w:type="dxa"/>
                  <w:tcBorders>
                    <w:top w:val="single" w:sz="6" w:space="0" w:color="auto"/>
                    <w:left w:val="single" w:sz="6" w:space="0" w:color="auto"/>
                    <w:bottom w:val="single" w:sz="12" w:space="0" w:color="auto"/>
                    <w:right w:val="single" w:sz="6" w:space="0" w:color="auto"/>
                  </w:tcBorders>
                  <w:hideMark/>
                </w:tcPr>
                <w:p w14:paraId="399B4570"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519.5375 + n (0.0125)</w:t>
                  </w:r>
                </w:p>
              </w:tc>
              <w:tc>
                <w:tcPr>
                  <w:tcW w:w="1531" w:type="dxa"/>
                  <w:tcBorders>
                    <w:top w:val="single" w:sz="6" w:space="0" w:color="auto"/>
                    <w:left w:val="single" w:sz="6" w:space="0" w:color="auto"/>
                    <w:bottom w:val="single" w:sz="12" w:space="0" w:color="auto"/>
                    <w:right w:val="single" w:sz="6" w:space="0" w:color="auto"/>
                  </w:tcBorders>
                  <w:hideMark/>
                </w:tcPr>
                <w:p w14:paraId="14C3B0D5"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1 to 36</w:t>
                  </w:r>
                </w:p>
              </w:tc>
              <w:tc>
                <w:tcPr>
                  <w:tcW w:w="1701" w:type="dxa"/>
                  <w:tcBorders>
                    <w:top w:val="single" w:sz="6" w:space="0" w:color="auto"/>
                    <w:left w:val="single" w:sz="6" w:space="0" w:color="auto"/>
                    <w:bottom w:val="single" w:sz="12" w:space="0" w:color="auto"/>
                    <w:right w:val="single" w:sz="12" w:space="0" w:color="auto"/>
                  </w:tcBorders>
                  <w:hideMark/>
                </w:tcPr>
                <w:p w14:paraId="3263985F" w14:textId="77777777" w:rsidR="00AA7E93" w:rsidRDefault="00AA7E93">
                  <w:pPr>
                    <w:widowControl w:val="0"/>
                    <w:spacing w:before="40" w:after="120" w:line="240" w:lineRule="auto"/>
                    <w:ind w:right="-23"/>
                    <w:rPr>
                      <w:rFonts w:cs="Arial"/>
                      <w:szCs w:val="20"/>
                      <w:lang w:val="en-GB" w:eastAsia="en-US"/>
                    </w:rPr>
                  </w:pPr>
                  <w:r>
                    <w:rPr>
                      <w:rFonts w:cs="Arial"/>
                      <w:szCs w:val="20"/>
                      <w:lang w:val="en-GB" w:eastAsia="en-US"/>
                    </w:rPr>
                    <w:t>519.5500</w:t>
                  </w:r>
                  <w:r>
                    <w:rPr>
                      <w:rFonts w:cs="Arial"/>
                      <w:szCs w:val="20"/>
                      <w:lang w:val="en-GB" w:eastAsia="en-US"/>
                    </w:rPr>
                    <w:br/>
                    <w:t>519.9875</w:t>
                  </w:r>
                </w:p>
              </w:tc>
            </w:tr>
          </w:tbl>
          <w:p w14:paraId="77CAEDEF" w14:textId="77777777" w:rsidR="00AA7E93" w:rsidRDefault="00AA7E93">
            <w:pPr>
              <w:ind w:right="-23"/>
              <w:rPr>
                <w:rFonts w:cs="Arial"/>
                <w:sz w:val="20"/>
                <w:lang w:eastAsia="en-US"/>
              </w:rPr>
            </w:pPr>
          </w:p>
        </w:tc>
      </w:tr>
      <w:tr w:rsidR="00AA7E93" w14:paraId="3F081ABD" w14:textId="77777777" w:rsidTr="00C42A28">
        <w:trPr>
          <w:trHeight w:val="129"/>
        </w:trPr>
        <w:tc>
          <w:tcPr>
            <w:tcW w:w="14175" w:type="dxa"/>
          </w:tcPr>
          <w:p w14:paraId="6CC0E46D" w14:textId="77777777" w:rsidR="00AA7E93" w:rsidRDefault="00AA7E93">
            <w:pPr>
              <w:ind w:right="-23"/>
              <w:rPr>
                <w:rFonts w:cs="Arial"/>
                <w:lang w:eastAsia="en-US"/>
              </w:rPr>
            </w:pPr>
          </w:p>
        </w:tc>
      </w:tr>
    </w:tbl>
    <w:p w14:paraId="34F6A94A" w14:textId="77777777" w:rsidR="00AA7E93" w:rsidRDefault="00AA7E93" w:rsidP="00AA7E93">
      <w:pPr>
        <w:ind w:right="-23"/>
        <w:rPr>
          <w:sz w:val="20"/>
        </w:rPr>
      </w:pPr>
    </w:p>
    <w:p w14:paraId="1BE59D1C" w14:textId="77777777" w:rsidR="00E900AF" w:rsidRDefault="00E900AF" w:rsidP="00AA7E93">
      <w:pPr>
        <w:widowControl w:val="0"/>
        <w:spacing w:after="120" w:line="240" w:lineRule="auto"/>
        <w:ind w:right="-23"/>
        <w:rPr>
          <w:rFonts w:cs="Arial"/>
          <w:b/>
          <w:szCs w:val="20"/>
          <w:lang w:val="en-GB"/>
        </w:rPr>
      </w:pPr>
    </w:p>
    <w:p w14:paraId="019AA66E" w14:textId="77777777" w:rsidR="00E900AF" w:rsidRDefault="00E900AF" w:rsidP="00AA7E93">
      <w:pPr>
        <w:widowControl w:val="0"/>
        <w:spacing w:after="120" w:line="240" w:lineRule="auto"/>
        <w:ind w:right="-23"/>
        <w:rPr>
          <w:rFonts w:cs="Arial"/>
          <w:b/>
          <w:szCs w:val="20"/>
          <w:lang w:val="en-GB"/>
        </w:rPr>
      </w:pPr>
    </w:p>
    <w:p w14:paraId="10F15748" w14:textId="77777777" w:rsidR="00E900AF" w:rsidRDefault="00E900AF" w:rsidP="00AA7E93">
      <w:pPr>
        <w:widowControl w:val="0"/>
        <w:spacing w:after="120" w:line="240" w:lineRule="auto"/>
        <w:ind w:right="-23"/>
        <w:rPr>
          <w:rFonts w:cs="Arial"/>
          <w:b/>
          <w:szCs w:val="20"/>
          <w:lang w:val="en-GB"/>
        </w:rPr>
      </w:pPr>
    </w:p>
    <w:p w14:paraId="75C9538C" w14:textId="24EF71E6" w:rsidR="00AA7E93" w:rsidRDefault="00AA7E93" w:rsidP="00AA7E93">
      <w:pPr>
        <w:widowControl w:val="0"/>
        <w:spacing w:after="120" w:line="240" w:lineRule="auto"/>
        <w:ind w:right="-23"/>
        <w:rPr>
          <w:rFonts w:cs="Arial"/>
          <w:szCs w:val="20"/>
          <w:lang w:val="en-GB"/>
        </w:rPr>
      </w:pPr>
      <w:r>
        <w:rPr>
          <w:rFonts w:cs="Arial"/>
          <w:b/>
          <w:szCs w:val="20"/>
          <w:lang w:val="en-GB"/>
        </w:rPr>
        <w:lastRenderedPageBreak/>
        <w:t>Notes:</w:t>
      </w:r>
    </w:p>
    <w:p w14:paraId="47970FA1" w14:textId="69B665F1" w:rsidR="00AA7E93" w:rsidRPr="00E900AF" w:rsidRDefault="00AA7E93" w:rsidP="00C42A28">
      <w:pPr>
        <w:pStyle w:val="ListNumber"/>
        <w:rPr>
          <w:lang w:val="en-GB"/>
        </w:rPr>
      </w:pPr>
      <w:bookmarkStart w:id="27" w:name="OLE_LINK6"/>
      <w:bookmarkStart w:id="28" w:name="OLE_LINK5"/>
      <w:r w:rsidRPr="00E900AF">
        <w:rPr>
          <w:lang w:val="en-GB"/>
        </w:rPr>
        <w:t xml:space="preserve">The land mobile service allocation in segments G, H, L, P, W, AA, CC, HH, KK, QQ, and VV is intended primarily to support single frequency low power applications. Assignments may be made to single frequency high power land mobile applications in low density and remote density areas on sites where the proposed licensee is the only licensee holding assignments in the 400 MHz band, </w:t>
      </w:r>
      <w:r w:rsidR="00411A85">
        <w:rPr>
          <w:lang w:val="en-GB"/>
        </w:rPr>
        <w:t>that is,</w:t>
      </w:r>
      <w:r w:rsidRPr="00E900AF">
        <w:rPr>
          <w:lang w:val="en-GB"/>
        </w:rPr>
        <w:t xml:space="preserve"> use of high power single frequency applications is not generally supported on communal sites where more than one licensee holds assignments in the 400 MHz band.</w:t>
      </w:r>
    </w:p>
    <w:p w14:paraId="093F7161" w14:textId="6AF1438B" w:rsidR="00AA7E93" w:rsidRPr="00E900AF" w:rsidRDefault="00AA7E93" w:rsidP="00C42A28">
      <w:pPr>
        <w:pStyle w:val="ListNumber"/>
        <w:rPr>
          <w:lang w:val="en-GB"/>
        </w:rPr>
      </w:pPr>
      <w:r w:rsidRPr="00E900AF">
        <w:rPr>
          <w:lang w:val="en-GB"/>
        </w:rPr>
        <w:t>Area wide single frequency data applications employing high duty cycle (</w:t>
      </w:r>
      <w:r w:rsidR="00411A85">
        <w:rPr>
          <w:lang w:val="en-GB"/>
        </w:rPr>
        <w:t>for example,</w:t>
      </w:r>
      <w:r w:rsidRPr="00E900AF">
        <w:rPr>
          <w:lang w:val="en-GB"/>
        </w:rPr>
        <w:t xml:space="preserve"> </w:t>
      </w:r>
      <w:r w:rsidR="00411A85">
        <w:rPr>
          <w:lang w:val="en-GB"/>
        </w:rPr>
        <w:t>d</w:t>
      </w:r>
      <w:r w:rsidRPr="00E900AF">
        <w:rPr>
          <w:lang w:val="en-GB"/>
        </w:rPr>
        <w:t xml:space="preserve">ifferential GPS transmitters) are designated the following channels: Segment S channels 362, 363, 364, 365, 366; Segment X channels 362, 363, 364, 365, 366. The use of 12.5 kHz systems is preferred; </w:t>
      </w:r>
      <w:r w:rsidR="00411A85" w:rsidRPr="00E900AF">
        <w:rPr>
          <w:lang w:val="en-GB"/>
        </w:rPr>
        <w:t>however,</w:t>
      </w:r>
      <w:r w:rsidRPr="00E900AF">
        <w:rPr>
          <w:lang w:val="en-GB"/>
        </w:rPr>
        <w:t xml:space="preserve"> channels may be aggregated to accommodate 25 kHz systems.</w:t>
      </w:r>
    </w:p>
    <w:bookmarkEnd w:id="27"/>
    <w:bookmarkEnd w:id="28"/>
    <w:p w14:paraId="61ED3A34" w14:textId="53D66072" w:rsidR="00AA7E93" w:rsidRPr="00E900AF" w:rsidRDefault="00AA7E93" w:rsidP="00C42A28">
      <w:pPr>
        <w:pStyle w:val="ListNumber"/>
        <w:rPr>
          <w:lang w:val="en-GB"/>
        </w:rPr>
      </w:pPr>
      <w:r w:rsidRPr="00E900AF">
        <w:rPr>
          <w:lang w:val="en-GB"/>
        </w:rPr>
        <w:t>In segments R and V channel bandwidths up to 50 kHz may be used provided the requirements of RALI FX16 are met.</w:t>
      </w:r>
    </w:p>
    <w:p w14:paraId="64DEBDEC" w14:textId="623ED0FA" w:rsidR="00AA7E93" w:rsidRPr="00E900AF" w:rsidRDefault="00AA7E93" w:rsidP="00C42A28">
      <w:pPr>
        <w:pStyle w:val="ListNumber"/>
        <w:rPr>
          <w:lang w:val="en-GB"/>
        </w:rPr>
      </w:pPr>
      <w:r w:rsidRPr="00E900AF">
        <w:rPr>
          <w:lang w:val="en-GB"/>
        </w:rPr>
        <w:t>The frequencies 457.525 MHz, 457.550 MHz, 457.575 MHz, 467.525 MHz, 467.550 MHz and 467.575 MHz may be used by on-board communication stations in the Maritime Mobile Service. Care should be taken when assigning these channels near the coastline or inland waterways because of the potential to receive interference from, or cause interference to the Maritime Mobile Service.</w:t>
      </w:r>
    </w:p>
    <w:p w14:paraId="5028E931" w14:textId="1EE3F651" w:rsidR="00AA7E93" w:rsidRPr="00E900AF" w:rsidRDefault="00AA7E93" w:rsidP="00C42A28">
      <w:pPr>
        <w:pStyle w:val="ListNumber"/>
        <w:rPr>
          <w:lang w:val="en-GB"/>
        </w:rPr>
      </w:pPr>
      <w:r w:rsidRPr="00E900AF">
        <w:rPr>
          <w:lang w:val="en-GB"/>
        </w:rPr>
        <w:t xml:space="preserve">The segment CC may be used by the fixed service outside of the areas defined as high density and medium density areas. </w:t>
      </w:r>
    </w:p>
    <w:p w14:paraId="4C86CA34" w14:textId="2A6D3FB1" w:rsidR="00AA7E93" w:rsidRPr="00E900AF" w:rsidRDefault="00AA7E93" w:rsidP="00C42A28">
      <w:pPr>
        <w:pStyle w:val="ListNumber"/>
        <w:rPr>
          <w:iCs/>
          <w:lang w:val="en-GB"/>
        </w:rPr>
      </w:pPr>
      <w:r w:rsidRPr="00E900AF">
        <w:rPr>
          <w:lang w:val="en-GB"/>
        </w:rPr>
        <w:t xml:space="preserve">See the </w:t>
      </w:r>
      <w:r w:rsidRPr="00E900AF">
        <w:rPr>
          <w:iCs/>
          <w:lang w:val="en-GB"/>
        </w:rPr>
        <w:t>Radiocommunications (Citizen Band Radio Stations) Class Licence 2002 for channel details.</w:t>
      </w:r>
    </w:p>
    <w:p w14:paraId="6A07F8B7" w14:textId="3C3140F8" w:rsidR="00AA7E93" w:rsidRPr="00E900AF" w:rsidRDefault="00AA7E93" w:rsidP="00C42A28">
      <w:pPr>
        <w:pStyle w:val="ListNumber"/>
        <w:rPr>
          <w:iCs/>
          <w:lang w:val="en-GB"/>
        </w:rPr>
      </w:pPr>
      <w:r w:rsidRPr="00E900AF">
        <w:rPr>
          <w:iCs/>
          <w:lang w:val="en-GB"/>
        </w:rPr>
        <w:t>Segments A, C, F, I, K, L, N, O, T and Y are to be used exclusively for Australian, State and Territory Government purposes, with the exception of:</w:t>
      </w:r>
    </w:p>
    <w:p w14:paraId="4EDD7DCA" w14:textId="48963180" w:rsidR="00AA7E93" w:rsidRPr="00E900AF" w:rsidRDefault="00AA7E93" w:rsidP="00C42A28">
      <w:pPr>
        <w:pStyle w:val="ListBullet2"/>
        <w:rPr>
          <w:lang w:val="en-GB"/>
        </w:rPr>
      </w:pPr>
      <w:r w:rsidRPr="00E900AF">
        <w:rPr>
          <w:lang w:val="en-GB"/>
        </w:rPr>
        <w:t>bands in Segment O defined in Australian Radiofrequency Spectrum Plan, Australian footnote AUS94</w:t>
      </w:r>
    </w:p>
    <w:p w14:paraId="222F8B25" w14:textId="44F5D94F" w:rsidR="00AA7E93" w:rsidRPr="00E900AF" w:rsidRDefault="00AA7E93" w:rsidP="00C42A28">
      <w:pPr>
        <w:pStyle w:val="ListBullet2"/>
        <w:rPr>
          <w:lang w:val="en-GB"/>
        </w:rPr>
      </w:pPr>
      <w:r w:rsidRPr="00E900AF">
        <w:rPr>
          <w:lang w:val="en-GB"/>
        </w:rPr>
        <w:t>the frequencies listed in note 4 (used for the maritime mobile service)</w:t>
      </w:r>
    </w:p>
    <w:p w14:paraId="14F9DF57" w14:textId="77777777" w:rsidR="00AA7E93" w:rsidRPr="00E900AF" w:rsidRDefault="00AA7E93" w:rsidP="00C42A28">
      <w:pPr>
        <w:pStyle w:val="ListBullet2"/>
        <w:spacing w:after="240"/>
        <w:rPr>
          <w:lang w:val="en-GB"/>
        </w:rPr>
      </w:pPr>
      <w:r w:rsidRPr="00E900AF">
        <w:rPr>
          <w:lang w:val="en-GB"/>
        </w:rPr>
        <w:t xml:space="preserve">rail industry use in the frequency ranges described in note 8. </w:t>
      </w:r>
    </w:p>
    <w:p w14:paraId="50F9B85D" w14:textId="269E956D" w:rsidR="00AA7E93" w:rsidRPr="00C42A28" w:rsidRDefault="00AA7E93" w:rsidP="00C42A28">
      <w:pPr>
        <w:widowControl w:val="0"/>
        <w:spacing w:line="240" w:lineRule="auto"/>
        <w:ind w:left="360" w:right="-23"/>
        <w:rPr>
          <w:rFonts w:cs="Arial"/>
          <w:iCs/>
          <w:szCs w:val="22"/>
          <w:lang w:val="en-GB"/>
        </w:rPr>
      </w:pPr>
      <w:r w:rsidRPr="00C42A28">
        <w:rPr>
          <w:rFonts w:cs="Arial"/>
          <w:iCs/>
          <w:szCs w:val="22"/>
        </w:rPr>
        <w:t>Any use within these segments must be endorsed by the relevant state/territory communications authority, which is usually its National Coordinating Committee for Government Radiocommunications (NCCGR) representative</w:t>
      </w:r>
      <w:r w:rsidR="00411A85" w:rsidRPr="00C42A28">
        <w:rPr>
          <w:rFonts w:cs="Arial"/>
          <w:iCs/>
          <w:szCs w:val="22"/>
        </w:rPr>
        <w:t>.</w:t>
      </w:r>
      <w:r w:rsidRPr="00C42A28">
        <w:rPr>
          <w:rStyle w:val="FootnoteReference"/>
          <w:iCs/>
          <w:szCs w:val="22"/>
        </w:rPr>
        <w:footnoteReference w:id="4"/>
      </w:r>
    </w:p>
    <w:p w14:paraId="1722A4A0" w14:textId="4AAA55ED" w:rsidR="00AA7E93" w:rsidRPr="00E900AF" w:rsidRDefault="00AA7E93" w:rsidP="00C42A28">
      <w:pPr>
        <w:pStyle w:val="ListNumber"/>
        <w:keepNext/>
        <w:keepLines/>
        <w:ind w:left="357" w:hanging="357"/>
        <w:rPr>
          <w:lang w:val="en-GB"/>
        </w:rPr>
      </w:pPr>
      <w:r w:rsidRPr="00E900AF">
        <w:rPr>
          <w:lang w:val="en-GB"/>
        </w:rPr>
        <w:lastRenderedPageBreak/>
        <w:t>Use for the land mobile service within the frequency ranges 408.64375–409.04375 MHz and 418.09375–418.49375 MHz and on the frequencies 410.625 MHz, 411.375 MHz, 411.625 MHz, 412.375 MHz, 450.050 MHz and 450.4125 MHz is principally for the purposes of the rail industry. The Australasian Railway Association</w:t>
      </w:r>
      <w:r w:rsidRPr="00E900AF">
        <w:rPr>
          <w:rStyle w:val="FootnoteReference"/>
          <w:iCs/>
          <w:sz w:val="20"/>
          <w:szCs w:val="22"/>
        </w:rPr>
        <w:footnoteReference w:id="5"/>
      </w:r>
      <w:r w:rsidRPr="00E900AF">
        <w:rPr>
          <w:lang w:val="en-GB"/>
        </w:rPr>
        <w:t xml:space="preserve"> is normally consulted in considering use of this spectrum. Frequency assignment practice no. 7, </w:t>
      </w:r>
      <w:r w:rsidRPr="00E900AF">
        <w:rPr>
          <w:i/>
          <w:lang w:val="en-GB"/>
        </w:rPr>
        <w:t>Assigning rail industry spectrum in the 400 MHz band</w:t>
      </w:r>
      <w:r w:rsidRPr="00E900AF">
        <w:rPr>
          <w:lang w:val="en-GB"/>
        </w:rPr>
        <w:t xml:space="preserve"> should be consulted when making an assignment in this spectrum.</w:t>
      </w:r>
    </w:p>
    <w:p w14:paraId="271243A0" w14:textId="03AF5379" w:rsidR="00AA7E93" w:rsidRPr="00E900AF" w:rsidRDefault="00AA7E93" w:rsidP="00C42A28">
      <w:pPr>
        <w:pStyle w:val="ListNumber"/>
        <w:keepNext/>
        <w:keepLines/>
        <w:ind w:left="357" w:hanging="357"/>
      </w:pPr>
      <w:r w:rsidRPr="00E900AF">
        <w:t>Channels 201 to 320 of segments NN and SS (as specified in Table 1) are also available for use for the fixed service (point-to-multipoint, two frequency). Segment NN shall be used for base transmit and segment SS shall be used for base receive.</w:t>
      </w:r>
    </w:p>
    <w:p w14:paraId="1BC24A5F" w14:textId="7942CDEB" w:rsidR="00411A85" w:rsidRDefault="00AA7E93" w:rsidP="00C42A28">
      <w:pPr>
        <w:pStyle w:val="ListNumber"/>
        <w:keepNext/>
        <w:keepLines/>
        <w:ind w:left="357" w:hanging="357"/>
      </w:pPr>
      <w:r w:rsidRPr="00E900AF">
        <w:rPr>
          <w:lang w:val="en-GB"/>
        </w:rPr>
        <w:t xml:space="preserve">Segments E/M are designated for use by non-government licensees. No new assignments are to be made to government </w:t>
      </w:r>
      <w:r w:rsidR="00411A85" w:rsidRPr="00E900AF">
        <w:rPr>
          <w:lang w:val="en-GB"/>
        </w:rPr>
        <w:t>services;</w:t>
      </w:r>
      <w:r w:rsidRPr="00E900AF">
        <w:rPr>
          <w:lang w:val="en-GB"/>
        </w:rPr>
        <w:t xml:space="preserve"> </w:t>
      </w:r>
      <w:r w:rsidR="00B80433" w:rsidRPr="00E900AF">
        <w:rPr>
          <w:lang w:val="en-GB"/>
        </w:rPr>
        <w:t>however,</w:t>
      </w:r>
      <w:r w:rsidRPr="00E900AF">
        <w:rPr>
          <w:lang w:val="en-GB"/>
        </w:rPr>
        <w:t xml:space="preserve"> government services </w:t>
      </w:r>
      <w:r w:rsidRPr="00E900AF">
        <w:t>may continue to operate in these segments.</w:t>
      </w:r>
    </w:p>
    <w:p w14:paraId="3C630830" w14:textId="3E3DF12E" w:rsidR="00411A85" w:rsidRDefault="00411A85" w:rsidP="00411A85">
      <w:pPr>
        <w:pStyle w:val="ListNumber"/>
        <w:numPr>
          <w:ilvl w:val="0"/>
          <w:numId w:val="0"/>
        </w:numPr>
        <w:ind w:left="360" w:hanging="360"/>
      </w:pPr>
    </w:p>
    <w:p w14:paraId="695A4015" w14:textId="2A3EC7B0" w:rsidR="00411A85" w:rsidRDefault="00411A85" w:rsidP="00C42A28">
      <w:pPr>
        <w:pStyle w:val="Captionfigure"/>
      </w:pPr>
      <w:r>
        <w:lastRenderedPageBreak/>
        <w:t xml:space="preserve">400 MHz narrowband services diagram, </w:t>
      </w:r>
      <w:r w:rsidR="002B0EBC">
        <w:t>January</w:t>
      </w:r>
      <w:r>
        <w:t xml:space="preserve"> 20</w:t>
      </w:r>
      <w:r w:rsidR="002B0EBC">
        <w:t>20</w:t>
      </w:r>
      <w:r w:rsidR="00B80433">
        <w:br/>
      </w:r>
    </w:p>
    <w:p w14:paraId="4D50BDED" w14:textId="3A1A7496" w:rsidR="00E900AF" w:rsidRPr="00E900AF" w:rsidRDefault="00214E72" w:rsidP="00214E72">
      <w:pPr>
        <w:widowControl w:val="0"/>
        <w:spacing w:after="120" w:line="240" w:lineRule="auto"/>
        <w:ind w:left="567" w:right="-23" w:hanging="1276"/>
        <w:jc w:val="center"/>
        <w:rPr>
          <w:rFonts w:cs="Arial"/>
          <w:iCs/>
          <w:sz w:val="20"/>
          <w:szCs w:val="18"/>
        </w:rPr>
      </w:pPr>
      <w:r>
        <w:rPr>
          <w:noProof/>
          <w:lang w:eastAsia="en-US"/>
        </w:rPr>
        <w:drawing>
          <wp:inline distT="0" distB="0" distL="0" distR="0" wp14:anchorId="23F781D9" wp14:editId="6942FBF5">
            <wp:extent cx="8839200" cy="5881928"/>
            <wp:effectExtent l="0" t="0" r="0" b="508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 diagram.png"/>
                    <pic:cNvPicPr/>
                  </pic:nvPicPr>
                  <pic:blipFill>
                    <a:blip r:embed="rId14"/>
                    <a:stretch>
                      <a:fillRect/>
                    </a:stretch>
                  </pic:blipFill>
                  <pic:spPr>
                    <a:xfrm>
                      <a:off x="0" y="0"/>
                      <a:ext cx="8861966" cy="5897077"/>
                    </a:xfrm>
                    <a:prstGeom prst="rect">
                      <a:avLst/>
                    </a:prstGeom>
                  </pic:spPr>
                </pic:pic>
              </a:graphicData>
            </a:graphic>
          </wp:inline>
        </w:drawing>
      </w:r>
    </w:p>
    <w:tbl>
      <w:tblPr>
        <w:tblpPr w:leftFromText="180" w:rightFromText="180" w:horzAnchor="margin" w:tblpY="-855"/>
        <w:tblW w:w="13605" w:type="dxa"/>
        <w:tblLayout w:type="fixed"/>
        <w:tblCellMar>
          <w:left w:w="0" w:type="dxa"/>
          <w:right w:w="0" w:type="dxa"/>
        </w:tblCellMar>
        <w:tblLook w:val="01E0" w:firstRow="1" w:lastRow="1" w:firstColumn="1" w:lastColumn="1" w:noHBand="0" w:noVBand="0"/>
      </w:tblPr>
      <w:tblGrid>
        <w:gridCol w:w="13582"/>
        <w:gridCol w:w="23"/>
      </w:tblGrid>
      <w:tr w:rsidR="00AA7E93" w14:paraId="67D74199" w14:textId="77777777" w:rsidTr="00E900AF">
        <w:trPr>
          <w:gridAfter w:val="1"/>
          <w:wAfter w:w="23" w:type="dxa"/>
          <w:trHeight w:val="570"/>
        </w:trPr>
        <w:tc>
          <w:tcPr>
            <w:tcW w:w="13582" w:type="dxa"/>
            <w:tcBorders>
              <w:top w:val="single" w:sz="2" w:space="0" w:color="505050"/>
              <w:left w:val="nil"/>
              <w:bottom w:val="nil"/>
              <w:right w:val="nil"/>
            </w:tcBorders>
            <w:vAlign w:val="center"/>
            <w:hideMark/>
          </w:tcPr>
          <w:p w14:paraId="7520011A" w14:textId="7E770893" w:rsidR="00AA7E93" w:rsidRDefault="00AA7E93" w:rsidP="00E900AF">
            <w:pPr>
              <w:pStyle w:val="Caption"/>
              <w:pageBreakBefore/>
              <w:numPr>
                <w:ilvl w:val="0"/>
                <w:numId w:val="0"/>
              </w:numPr>
              <w:ind w:left="-426" w:right="-600"/>
              <w:rPr>
                <w:rFonts w:cs="Arial"/>
                <w:lang w:eastAsia="en-US"/>
              </w:rPr>
            </w:pPr>
          </w:p>
        </w:tc>
      </w:tr>
      <w:tr w:rsidR="00AA7E93" w14:paraId="3A0F849D" w14:textId="77777777" w:rsidTr="00E900AF">
        <w:trPr>
          <w:gridAfter w:val="1"/>
          <w:wAfter w:w="23" w:type="dxa"/>
          <w:trHeight w:val="420"/>
        </w:trPr>
        <w:tc>
          <w:tcPr>
            <w:tcW w:w="13582" w:type="dxa"/>
            <w:tcMar>
              <w:top w:w="0" w:type="dxa"/>
              <w:left w:w="28" w:type="dxa"/>
              <w:bottom w:w="0" w:type="dxa"/>
              <w:right w:w="0" w:type="dxa"/>
            </w:tcMar>
            <w:hideMark/>
          </w:tcPr>
          <w:p w14:paraId="47FC6DDD" w14:textId="0EBC9B70" w:rsidR="00AA7E93" w:rsidRDefault="00AA7E93" w:rsidP="00E900AF">
            <w:pPr>
              <w:ind w:right="-23"/>
              <w:jc w:val="right"/>
              <w:rPr>
                <w:rFonts w:cs="Arial"/>
                <w:lang w:eastAsia="en-US"/>
              </w:rPr>
            </w:pPr>
          </w:p>
        </w:tc>
      </w:tr>
      <w:tr w:rsidR="00AA7E93" w14:paraId="2B813997" w14:textId="77777777" w:rsidTr="00C42A28">
        <w:trPr>
          <w:trHeight w:val="570"/>
        </w:trPr>
        <w:tc>
          <w:tcPr>
            <w:tcW w:w="13605" w:type="dxa"/>
            <w:gridSpan w:val="2"/>
            <w:tcBorders>
              <w:left w:val="nil"/>
              <w:bottom w:val="nil"/>
              <w:right w:val="nil"/>
            </w:tcBorders>
            <w:vAlign w:val="center"/>
            <w:hideMark/>
          </w:tcPr>
          <w:p w14:paraId="1873BF5E" w14:textId="006DB735" w:rsidR="00AA7E93" w:rsidRDefault="00AA7E93" w:rsidP="00C42A28">
            <w:pPr>
              <w:pStyle w:val="Caption"/>
              <w:rPr>
                <w:lang w:eastAsia="en-US"/>
              </w:rPr>
            </w:pPr>
            <w:r>
              <w:rPr>
                <w:lang w:eastAsia="en-US"/>
              </w:rPr>
              <w:t xml:space="preserve">Channelling </w:t>
            </w:r>
            <w:r w:rsidRPr="00C42A28">
              <w:t>arrangements</w:t>
            </w:r>
            <w:r>
              <w:rPr>
                <w:lang w:eastAsia="en-US"/>
              </w:rPr>
              <w:t xml:space="preserve"> for the 400 MHz wideband fixed point-to-point services (see notes), </w:t>
            </w:r>
            <w:r w:rsidR="0021500B">
              <w:rPr>
                <w:lang w:eastAsia="en-US"/>
              </w:rPr>
              <w:t>January</w:t>
            </w:r>
            <w:r>
              <w:rPr>
                <w:lang w:eastAsia="en-US"/>
              </w:rPr>
              <w:t xml:space="preserve"> 20</w:t>
            </w:r>
            <w:r w:rsidR="0021500B">
              <w:rPr>
                <w:lang w:eastAsia="en-US"/>
              </w:rPr>
              <w:t>20</w:t>
            </w:r>
          </w:p>
        </w:tc>
      </w:tr>
      <w:tr w:rsidR="00AA7E93" w14:paraId="45F0A662" w14:textId="77777777" w:rsidTr="00C42A28">
        <w:trPr>
          <w:trHeight w:val="3086"/>
        </w:trPr>
        <w:tc>
          <w:tcPr>
            <w:tcW w:w="13605" w:type="dxa"/>
            <w:gridSpan w:val="2"/>
            <w:tcMar>
              <w:top w:w="0" w:type="dxa"/>
              <w:left w:w="28" w:type="dxa"/>
              <w:bottom w:w="0" w:type="dxa"/>
              <w:right w:w="0" w:type="dxa"/>
            </w:tcMar>
            <w:hideMark/>
          </w:tcPr>
          <w:tbl>
            <w:tblPr>
              <w:tblW w:w="0" w:type="auto"/>
              <w:tblInd w:w="22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134"/>
              <w:gridCol w:w="2268"/>
              <w:gridCol w:w="1134"/>
              <w:gridCol w:w="2268"/>
            </w:tblGrid>
            <w:tr w:rsidR="00AA7E93" w14:paraId="1D024DCE" w14:textId="77777777">
              <w:trPr>
                <w:cantSplit/>
              </w:trPr>
              <w:tc>
                <w:tcPr>
                  <w:tcW w:w="3402" w:type="dxa"/>
                  <w:gridSpan w:val="2"/>
                  <w:tcBorders>
                    <w:top w:val="single" w:sz="12" w:space="0" w:color="auto"/>
                    <w:left w:val="single" w:sz="12" w:space="0" w:color="auto"/>
                    <w:bottom w:val="single" w:sz="6" w:space="0" w:color="auto"/>
                    <w:right w:val="single" w:sz="6" w:space="0" w:color="auto"/>
                  </w:tcBorders>
                  <w:hideMark/>
                </w:tcPr>
                <w:p w14:paraId="178B116D"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Channel</w:t>
                  </w:r>
                </w:p>
              </w:tc>
              <w:tc>
                <w:tcPr>
                  <w:tcW w:w="3402" w:type="dxa"/>
                  <w:gridSpan w:val="2"/>
                  <w:tcBorders>
                    <w:top w:val="single" w:sz="12" w:space="0" w:color="auto"/>
                    <w:left w:val="single" w:sz="6" w:space="0" w:color="auto"/>
                    <w:bottom w:val="single" w:sz="6" w:space="0" w:color="auto"/>
                    <w:right w:val="single" w:sz="12" w:space="0" w:color="auto"/>
                  </w:tcBorders>
                  <w:hideMark/>
                </w:tcPr>
                <w:p w14:paraId="4D284595"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Paired Channel</w:t>
                  </w:r>
                </w:p>
              </w:tc>
            </w:tr>
            <w:tr w:rsidR="00AA7E93" w14:paraId="109C89F8" w14:textId="77777777">
              <w:trPr>
                <w:cantSplit/>
              </w:trPr>
              <w:tc>
                <w:tcPr>
                  <w:tcW w:w="1134" w:type="dxa"/>
                  <w:tcBorders>
                    <w:top w:val="nil"/>
                    <w:left w:val="single" w:sz="12" w:space="0" w:color="auto"/>
                    <w:bottom w:val="single" w:sz="12" w:space="0" w:color="auto"/>
                    <w:right w:val="single" w:sz="6" w:space="0" w:color="auto"/>
                  </w:tcBorders>
                  <w:hideMark/>
                </w:tcPr>
                <w:p w14:paraId="7C6FA828"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No</w:t>
                  </w:r>
                </w:p>
              </w:tc>
              <w:tc>
                <w:tcPr>
                  <w:tcW w:w="2268" w:type="dxa"/>
                  <w:tcBorders>
                    <w:top w:val="nil"/>
                    <w:left w:val="single" w:sz="6" w:space="0" w:color="auto"/>
                    <w:bottom w:val="single" w:sz="12" w:space="0" w:color="auto"/>
                    <w:right w:val="single" w:sz="6" w:space="0" w:color="auto"/>
                  </w:tcBorders>
                  <w:hideMark/>
                </w:tcPr>
                <w:p w14:paraId="6292FBF1"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Centre Frequency (MHz)</w:t>
                  </w:r>
                </w:p>
              </w:tc>
              <w:tc>
                <w:tcPr>
                  <w:tcW w:w="1134" w:type="dxa"/>
                  <w:tcBorders>
                    <w:top w:val="nil"/>
                    <w:left w:val="single" w:sz="6" w:space="0" w:color="auto"/>
                    <w:bottom w:val="single" w:sz="12" w:space="0" w:color="auto"/>
                    <w:right w:val="single" w:sz="6" w:space="0" w:color="auto"/>
                  </w:tcBorders>
                  <w:hideMark/>
                </w:tcPr>
                <w:p w14:paraId="3BD83EAB"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No</w:t>
                  </w:r>
                </w:p>
              </w:tc>
              <w:tc>
                <w:tcPr>
                  <w:tcW w:w="2268" w:type="dxa"/>
                  <w:tcBorders>
                    <w:top w:val="nil"/>
                    <w:left w:val="single" w:sz="6" w:space="0" w:color="auto"/>
                    <w:bottom w:val="single" w:sz="12" w:space="0" w:color="auto"/>
                    <w:right w:val="single" w:sz="12" w:space="0" w:color="auto"/>
                  </w:tcBorders>
                  <w:hideMark/>
                </w:tcPr>
                <w:p w14:paraId="71E8F218"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Centre Frequency (MHz)</w:t>
                  </w:r>
                </w:p>
              </w:tc>
            </w:tr>
            <w:tr w:rsidR="00AA7E93" w14:paraId="32FBE211" w14:textId="77777777">
              <w:trPr>
                <w:cantSplit/>
              </w:trPr>
              <w:tc>
                <w:tcPr>
                  <w:tcW w:w="1134" w:type="dxa"/>
                  <w:tcBorders>
                    <w:top w:val="nil"/>
                    <w:left w:val="single" w:sz="12" w:space="0" w:color="auto"/>
                    <w:bottom w:val="single" w:sz="6" w:space="0" w:color="auto"/>
                    <w:right w:val="single" w:sz="6" w:space="0" w:color="auto"/>
                  </w:tcBorders>
                  <w:hideMark/>
                </w:tcPr>
                <w:p w14:paraId="60659D53"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1</w:t>
                  </w:r>
                </w:p>
              </w:tc>
              <w:tc>
                <w:tcPr>
                  <w:tcW w:w="2268" w:type="dxa"/>
                  <w:tcBorders>
                    <w:top w:val="nil"/>
                    <w:left w:val="single" w:sz="6" w:space="0" w:color="auto"/>
                    <w:bottom w:val="single" w:sz="6" w:space="0" w:color="auto"/>
                    <w:right w:val="single" w:sz="6" w:space="0" w:color="auto"/>
                  </w:tcBorders>
                  <w:hideMark/>
                </w:tcPr>
                <w:p w14:paraId="355155C4"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403.55</w:t>
                  </w:r>
                </w:p>
              </w:tc>
              <w:tc>
                <w:tcPr>
                  <w:tcW w:w="1134" w:type="dxa"/>
                  <w:tcBorders>
                    <w:top w:val="nil"/>
                    <w:left w:val="single" w:sz="6" w:space="0" w:color="auto"/>
                    <w:bottom w:val="single" w:sz="6" w:space="0" w:color="auto"/>
                    <w:right w:val="single" w:sz="6" w:space="0" w:color="auto"/>
                  </w:tcBorders>
                  <w:hideMark/>
                </w:tcPr>
                <w:p w14:paraId="0C54072A"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1'</w:t>
                  </w:r>
                </w:p>
              </w:tc>
              <w:tc>
                <w:tcPr>
                  <w:tcW w:w="2268" w:type="dxa"/>
                  <w:tcBorders>
                    <w:top w:val="nil"/>
                    <w:left w:val="single" w:sz="6" w:space="0" w:color="auto"/>
                    <w:bottom w:val="single" w:sz="6" w:space="0" w:color="auto"/>
                    <w:right w:val="single" w:sz="12" w:space="0" w:color="auto"/>
                  </w:tcBorders>
                  <w:hideMark/>
                </w:tcPr>
                <w:p w14:paraId="0EA38A43"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413</w:t>
                  </w:r>
                </w:p>
              </w:tc>
            </w:tr>
            <w:tr w:rsidR="00AA7E93" w14:paraId="35F17CB0"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041C62B9"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2</w:t>
                  </w:r>
                </w:p>
              </w:tc>
              <w:tc>
                <w:tcPr>
                  <w:tcW w:w="2268" w:type="dxa"/>
                  <w:tcBorders>
                    <w:top w:val="single" w:sz="6" w:space="0" w:color="auto"/>
                    <w:left w:val="single" w:sz="6" w:space="0" w:color="auto"/>
                    <w:bottom w:val="single" w:sz="6" w:space="0" w:color="auto"/>
                    <w:right w:val="single" w:sz="6" w:space="0" w:color="auto"/>
                  </w:tcBorders>
                  <w:hideMark/>
                </w:tcPr>
                <w:p w14:paraId="5003FDB1"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405.55</w:t>
                  </w:r>
                </w:p>
              </w:tc>
              <w:tc>
                <w:tcPr>
                  <w:tcW w:w="1134" w:type="dxa"/>
                  <w:tcBorders>
                    <w:top w:val="single" w:sz="6" w:space="0" w:color="auto"/>
                    <w:left w:val="single" w:sz="6" w:space="0" w:color="auto"/>
                    <w:bottom w:val="single" w:sz="6" w:space="0" w:color="auto"/>
                    <w:right w:val="single" w:sz="6" w:space="0" w:color="auto"/>
                  </w:tcBorders>
                  <w:hideMark/>
                </w:tcPr>
                <w:p w14:paraId="442848C4"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2'</w:t>
                  </w:r>
                </w:p>
              </w:tc>
              <w:tc>
                <w:tcPr>
                  <w:tcW w:w="2268" w:type="dxa"/>
                  <w:tcBorders>
                    <w:top w:val="single" w:sz="6" w:space="0" w:color="auto"/>
                    <w:left w:val="single" w:sz="6" w:space="0" w:color="auto"/>
                    <w:bottom w:val="single" w:sz="6" w:space="0" w:color="auto"/>
                    <w:right w:val="single" w:sz="12" w:space="0" w:color="auto"/>
                  </w:tcBorders>
                  <w:hideMark/>
                </w:tcPr>
                <w:p w14:paraId="587C5C65"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415</w:t>
                  </w:r>
                </w:p>
              </w:tc>
            </w:tr>
            <w:tr w:rsidR="00AA7E93" w14:paraId="3E84C8B1"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0C49384B"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3</w:t>
                  </w:r>
                </w:p>
              </w:tc>
              <w:tc>
                <w:tcPr>
                  <w:tcW w:w="2268" w:type="dxa"/>
                  <w:tcBorders>
                    <w:top w:val="single" w:sz="6" w:space="0" w:color="auto"/>
                    <w:left w:val="single" w:sz="6" w:space="0" w:color="auto"/>
                    <w:bottom w:val="single" w:sz="6" w:space="0" w:color="auto"/>
                    <w:right w:val="single" w:sz="6" w:space="0" w:color="auto"/>
                  </w:tcBorders>
                  <w:hideMark/>
                </w:tcPr>
                <w:p w14:paraId="70014C3E"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409.05</w:t>
                  </w:r>
                </w:p>
              </w:tc>
              <w:tc>
                <w:tcPr>
                  <w:tcW w:w="1134" w:type="dxa"/>
                  <w:tcBorders>
                    <w:top w:val="single" w:sz="6" w:space="0" w:color="auto"/>
                    <w:left w:val="single" w:sz="6" w:space="0" w:color="auto"/>
                    <w:bottom w:val="single" w:sz="6" w:space="0" w:color="auto"/>
                    <w:right w:val="single" w:sz="6" w:space="0" w:color="auto"/>
                  </w:tcBorders>
                  <w:hideMark/>
                </w:tcPr>
                <w:p w14:paraId="7CD6CCCC"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3'</w:t>
                  </w:r>
                </w:p>
              </w:tc>
              <w:tc>
                <w:tcPr>
                  <w:tcW w:w="2268" w:type="dxa"/>
                  <w:tcBorders>
                    <w:top w:val="single" w:sz="6" w:space="0" w:color="auto"/>
                    <w:left w:val="single" w:sz="6" w:space="0" w:color="auto"/>
                    <w:bottom w:val="single" w:sz="6" w:space="0" w:color="auto"/>
                    <w:right w:val="single" w:sz="12" w:space="0" w:color="auto"/>
                  </w:tcBorders>
                  <w:hideMark/>
                </w:tcPr>
                <w:p w14:paraId="577BAC10"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418.5</w:t>
                  </w:r>
                </w:p>
              </w:tc>
            </w:tr>
            <w:tr w:rsidR="00AA7E93" w14:paraId="600FCC67"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0713F0D7"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w:t>
                  </w:r>
                </w:p>
              </w:tc>
              <w:tc>
                <w:tcPr>
                  <w:tcW w:w="2268" w:type="dxa"/>
                  <w:tcBorders>
                    <w:top w:val="single" w:sz="6" w:space="0" w:color="auto"/>
                    <w:left w:val="single" w:sz="6" w:space="0" w:color="auto"/>
                    <w:bottom w:val="single" w:sz="6" w:space="0" w:color="auto"/>
                    <w:right w:val="single" w:sz="6" w:space="0" w:color="auto"/>
                  </w:tcBorders>
                  <w:hideMark/>
                </w:tcPr>
                <w:p w14:paraId="230B26F9"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410.05</w:t>
                  </w:r>
                </w:p>
              </w:tc>
              <w:tc>
                <w:tcPr>
                  <w:tcW w:w="1134" w:type="dxa"/>
                  <w:tcBorders>
                    <w:top w:val="single" w:sz="6" w:space="0" w:color="auto"/>
                    <w:left w:val="single" w:sz="6" w:space="0" w:color="auto"/>
                    <w:bottom w:val="single" w:sz="6" w:space="0" w:color="auto"/>
                    <w:right w:val="single" w:sz="6" w:space="0" w:color="auto"/>
                  </w:tcBorders>
                  <w:hideMark/>
                </w:tcPr>
                <w:p w14:paraId="7DE2E124"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w:t>
                  </w:r>
                </w:p>
              </w:tc>
              <w:tc>
                <w:tcPr>
                  <w:tcW w:w="2268" w:type="dxa"/>
                  <w:tcBorders>
                    <w:top w:val="single" w:sz="6" w:space="0" w:color="auto"/>
                    <w:left w:val="single" w:sz="6" w:space="0" w:color="auto"/>
                    <w:bottom w:val="single" w:sz="6" w:space="0" w:color="auto"/>
                    <w:right w:val="single" w:sz="12" w:space="0" w:color="auto"/>
                  </w:tcBorders>
                  <w:hideMark/>
                </w:tcPr>
                <w:p w14:paraId="03E4153F"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419.5</w:t>
                  </w:r>
                </w:p>
              </w:tc>
            </w:tr>
            <w:tr w:rsidR="00AA7E93" w14:paraId="38AE490D"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5921864D"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1'</w:t>
                  </w:r>
                </w:p>
              </w:tc>
              <w:tc>
                <w:tcPr>
                  <w:tcW w:w="2268" w:type="dxa"/>
                  <w:tcBorders>
                    <w:top w:val="single" w:sz="6" w:space="0" w:color="auto"/>
                    <w:left w:val="single" w:sz="6" w:space="0" w:color="auto"/>
                    <w:bottom w:val="single" w:sz="6" w:space="0" w:color="auto"/>
                    <w:right w:val="single" w:sz="6" w:space="0" w:color="auto"/>
                  </w:tcBorders>
                  <w:hideMark/>
                </w:tcPr>
                <w:p w14:paraId="762A0D9D"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413</w:t>
                  </w:r>
                </w:p>
              </w:tc>
              <w:tc>
                <w:tcPr>
                  <w:tcW w:w="1134" w:type="dxa"/>
                  <w:tcBorders>
                    <w:top w:val="single" w:sz="6" w:space="0" w:color="auto"/>
                    <w:left w:val="single" w:sz="6" w:space="0" w:color="auto"/>
                    <w:bottom w:val="single" w:sz="6" w:space="0" w:color="auto"/>
                    <w:right w:val="single" w:sz="6" w:space="0" w:color="auto"/>
                  </w:tcBorders>
                  <w:hideMark/>
                </w:tcPr>
                <w:p w14:paraId="4659317A"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1</w:t>
                  </w:r>
                </w:p>
              </w:tc>
              <w:tc>
                <w:tcPr>
                  <w:tcW w:w="2268" w:type="dxa"/>
                  <w:tcBorders>
                    <w:top w:val="single" w:sz="6" w:space="0" w:color="auto"/>
                    <w:left w:val="single" w:sz="6" w:space="0" w:color="auto"/>
                    <w:bottom w:val="single" w:sz="6" w:space="0" w:color="auto"/>
                    <w:right w:val="single" w:sz="12" w:space="0" w:color="auto"/>
                  </w:tcBorders>
                  <w:hideMark/>
                </w:tcPr>
                <w:p w14:paraId="66CBEF75"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403.55</w:t>
                  </w:r>
                </w:p>
              </w:tc>
            </w:tr>
            <w:tr w:rsidR="00AA7E93" w14:paraId="40AEB3DE"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113540A2"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2'</w:t>
                  </w:r>
                </w:p>
              </w:tc>
              <w:tc>
                <w:tcPr>
                  <w:tcW w:w="2268" w:type="dxa"/>
                  <w:tcBorders>
                    <w:top w:val="single" w:sz="6" w:space="0" w:color="auto"/>
                    <w:left w:val="single" w:sz="6" w:space="0" w:color="auto"/>
                    <w:bottom w:val="single" w:sz="6" w:space="0" w:color="auto"/>
                    <w:right w:val="single" w:sz="6" w:space="0" w:color="auto"/>
                  </w:tcBorders>
                  <w:hideMark/>
                </w:tcPr>
                <w:p w14:paraId="42FD3036"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415</w:t>
                  </w:r>
                </w:p>
              </w:tc>
              <w:tc>
                <w:tcPr>
                  <w:tcW w:w="1134" w:type="dxa"/>
                  <w:tcBorders>
                    <w:top w:val="single" w:sz="6" w:space="0" w:color="auto"/>
                    <w:left w:val="single" w:sz="6" w:space="0" w:color="auto"/>
                    <w:bottom w:val="single" w:sz="6" w:space="0" w:color="auto"/>
                    <w:right w:val="single" w:sz="6" w:space="0" w:color="auto"/>
                  </w:tcBorders>
                  <w:hideMark/>
                </w:tcPr>
                <w:p w14:paraId="062F6BA6"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2</w:t>
                  </w:r>
                </w:p>
              </w:tc>
              <w:tc>
                <w:tcPr>
                  <w:tcW w:w="2268" w:type="dxa"/>
                  <w:tcBorders>
                    <w:top w:val="single" w:sz="6" w:space="0" w:color="auto"/>
                    <w:left w:val="single" w:sz="6" w:space="0" w:color="auto"/>
                    <w:bottom w:val="single" w:sz="6" w:space="0" w:color="auto"/>
                    <w:right w:val="single" w:sz="12" w:space="0" w:color="auto"/>
                  </w:tcBorders>
                  <w:hideMark/>
                </w:tcPr>
                <w:p w14:paraId="64418596"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405.55</w:t>
                  </w:r>
                </w:p>
              </w:tc>
            </w:tr>
            <w:tr w:rsidR="00AA7E93" w14:paraId="52BA248B"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09372677"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3'</w:t>
                  </w:r>
                </w:p>
              </w:tc>
              <w:tc>
                <w:tcPr>
                  <w:tcW w:w="2268" w:type="dxa"/>
                  <w:tcBorders>
                    <w:top w:val="single" w:sz="6" w:space="0" w:color="auto"/>
                    <w:left w:val="single" w:sz="6" w:space="0" w:color="auto"/>
                    <w:bottom w:val="single" w:sz="6" w:space="0" w:color="auto"/>
                    <w:right w:val="single" w:sz="6" w:space="0" w:color="auto"/>
                  </w:tcBorders>
                  <w:hideMark/>
                </w:tcPr>
                <w:p w14:paraId="23CB5C67"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418.5</w:t>
                  </w:r>
                </w:p>
              </w:tc>
              <w:tc>
                <w:tcPr>
                  <w:tcW w:w="1134" w:type="dxa"/>
                  <w:tcBorders>
                    <w:top w:val="single" w:sz="6" w:space="0" w:color="auto"/>
                    <w:left w:val="single" w:sz="6" w:space="0" w:color="auto"/>
                    <w:bottom w:val="single" w:sz="6" w:space="0" w:color="auto"/>
                    <w:right w:val="single" w:sz="6" w:space="0" w:color="auto"/>
                  </w:tcBorders>
                  <w:hideMark/>
                </w:tcPr>
                <w:p w14:paraId="4BA4A599"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3</w:t>
                  </w:r>
                </w:p>
              </w:tc>
              <w:tc>
                <w:tcPr>
                  <w:tcW w:w="2268" w:type="dxa"/>
                  <w:tcBorders>
                    <w:top w:val="single" w:sz="6" w:space="0" w:color="auto"/>
                    <w:left w:val="single" w:sz="6" w:space="0" w:color="auto"/>
                    <w:bottom w:val="single" w:sz="6" w:space="0" w:color="auto"/>
                    <w:right w:val="single" w:sz="12" w:space="0" w:color="auto"/>
                  </w:tcBorders>
                  <w:hideMark/>
                </w:tcPr>
                <w:p w14:paraId="0671B1AE"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409.05</w:t>
                  </w:r>
                </w:p>
              </w:tc>
            </w:tr>
            <w:tr w:rsidR="00AA7E93" w14:paraId="4D963CE4" w14:textId="77777777">
              <w:trPr>
                <w:cantSplit/>
              </w:trPr>
              <w:tc>
                <w:tcPr>
                  <w:tcW w:w="1134" w:type="dxa"/>
                  <w:tcBorders>
                    <w:top w:val="single" w:sz="6" w:space="0" w:color="auto"/>
                    <w:left w:val="single" w:sz="12" w:space="0" w:color="auto"/>
                    <w:bottom w:val="single" w:sz="6" w:space="0" w:color="auto"/>
                    <w:right w:val="single" w:sz="6" w:space="0" w:color="auto"/>
                  </w:tcBorders>
                  <w:hideMark/>
                </w:tcPr>
                <w:p w14:paraId="4A18DB83"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w:t>
                  </w:r>
                </w:p>
              </w:tc>
              <w:tc>
                <w:tcPr>
                  <w:tcW w:w="2268" w:type="dxa"/>
                  <w:tcBorders>
                    <w:top w:val="single" w:sz="6" w:space="0" w:color="auto"/>
                    <w:left w:val="single" w:sz="6" w:space="0" w:color="auto"/>
                    <w:bottom w:val="single" w:sz="6" w:space="0" w:color="auto"/>
                    <w:right w:val="single" w:sz="6" w:space="0" w:color="auto"/>
                  </w:tcBorders>
                  <w:hideMark/>
                </w:tcPr>
                <w:p w14:paraId="36AA0376"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419.5</w:t>
                  </w:r>
                </w:p>
              </w:tc>
              <w:tc>
                <w:tcPr>
                  <w:tcW w:w="1134" w:type="dxa"/>
                  <w:tcBorders>
                    <w:top w:val="single" w:sz="6" w:space="0" w:color="auto"/>
                    <w:left w:val="single" w:sz="6" w:space="0" w:color="auto"/>
                    <w:bottom w:val="single" w:sz="6" w:space="0" w:color="auto"/>
                    <w:right w:val="single" w:sz="6" w:space="0" w:color="auto"/>
                  </w:tcBorders>
                  <w:hideMark/>
                </w:tcPr>
                <w:p w14:paraId="33539BA9"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w:t>
                  </w:r>
                </w:p>
              </w:tc>
              <w:tc>
                <w:tcPr>
                  <w:tcW w:w="2268" w:type="dxa"/>
                  <w:tcBorders>
                    <w:top w:val="single" w:sz="6" w:space="0" w:color="auto"/>
                    <w:left w:val="single" w:sz="6" w:space="0" w:color="auto"/>
                    <w:bottom w:val="single" w:sz="6" w:space="0" w:color="auto"/>
                    <w:right w:val="single" w:sz="12" w:space="0" w:color="auto"/>
                  </w:tcBorders>
                  <w:hideMark/>
                </w:tcPr>
                <w:p w14:paraId="29877B69"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r>
                    <w:rPr>
                      <w:rFonts w:cs="Arial"/>
                      <w:sz w:val="24"/>
                      <w:szCs w:val="20"/>
                      <w:lang w:val="en-GB" w:eastAsia="en-US"/>
                    </w:rPr>
                    <w:t>410.05</w:t>
                  </w:r>
                </w:p>
              </w:tc>
            </w:tr>
            <w:tr w:rsidR="00AA7E93" w14:paraId="6046A867" w14:textId="77777777">
              <w:trPr>
                <w:cantSplit/>
              </w:trPr>
              <w:tc>
                <w:tcPr>
                  <w:tcW w:w="1134" w:type="dxa"/>
                  <w:tcBorders>
                    <w:top w:val="single" w:sz="6" w:space="0" w:color="auto"/>
                    <w:left w:val="nil"/>
                    <w:bottom w:val="nil"/>
                    <w:right w:val="nil"/>
                  </w:tcBorders>
                </w:tcPr>
                <w:p w14:paraId="17AAD730"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p>
              </w:tc>
              <w:tc>
                <w:tcPr>
                  <w:tcW w:w="2268" w:type="dxa"/>
                  <w:tcBorders>
                    <w:top w:val="single" w:sz="6" w:space="0" w:color="auto"/>
                    <w:left w:val="nil"/>
                    <w:bottom w:val="nil"/>
                    <w:right w:val="nil"/>
                  </w:tcBorders>
                </w:tcPr>
                <w:p w14:paraId="100E168B"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p>
              </w:tc>
              <w:tc>
                <w:tcPr>
                  <w:tcW w:w="1134" w:type="dxa"/>
                  <w:tcBorders>
                    <w:top w:val="single" w:sz="6" w:space="0" w:color="auto"/>
                    <w:left w:val="nil"/>
                    <w:bottom w:val="nil"/>
                    <w:right w:val="nil"/>
                  </w:tcBorders>
                </w:tcPr>
                <w:p w14:paraId="07839EA1"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p>
              </w:tc>
              <w:tc>
                <w:tcPr>
                  <w:tcW w:w="2268" w:type="dxa"/>
                  <w:tcBorders>
                    <w:top w:val="single" w:sz="6" w:space="0" w:color="auto"/>
                    <w:left w:val="nil"/>
                    <w:bottom w:val="nil"/>
                    <w:right w:val="nil"/>
                  </w:tcBorders>
                </w:tcPr>
                <w:p w14:paraId="5F692894" w14:textId="77777777" w:rsidR="00AA7E93" w:rsidRDefault="00AA7E93" w:rsidP="00E900AF">
                  <w:pPr>
                    <w:framePr w:hSpace="180" w:wrap="around" w:hAnchor="margin" w:y="-855"/>
                    <w:widowControl w:val="0"/>
                    <w:spacing w:before="40" w:after="120" w:line="240" w:lineRule="auto"/>
                    <w:ind w:right="-23"/>
                    <w:jc w:val="center"/>
                    <w:rPr>
                      <w:rFonts w:cs="Arial"/>
                      <w:sz w:val="24"/>
                      <w:szCs w:val="20"/>
                      <w:lang w:val="en-GB" w:eastAsia="en-US"/>
                    </w:rPr>
                  </w:pPr>
                </w:p>
              </w:tc>
            </w:tr>
          </w:tbl>
          <w:p w14:paraId="11B7742D" w14:textId="77777777" w:rsidR="00AA7E93" w:rsidRDefault="00AA7E93" w:rsidP="00E900AF">
            <w:pPr>
              <w:ind w:right="-23"/>
              <w:rPr>
                <w:rFonts w:cs="Arial"/>
                <w:sz w:val="20"/>
                <w:lang w:eastAsia="en-US"/>
              </w:rPr>
            </w:pPr>
          </w:p>
        </w:tc>
      </w:tr>
    </w:tbl>
    <w:p w14:paraId="62B73D88" w14:textId="77777777" w:rsidR="00AA7E93" w:rsidRDefault="00AA7E93" w:rsidP="00AA7E93">
      <w:pPr>
        <w:ind w:right="-23"/>
        <w:rPr>
          <w:sz w:val="20"/>
        </w:rPr>
      </w:pPr>
    </w:p>
    <w:p w14:paraId="2AC07196" w14:textId="77777777" w:rsidR="00AA7E93" w:rsidRDefault="00AA7E93" w:rsidP="00AA7E93">
      <w:pPr>
        <w:widowControl w:val="0"/>
        <w:spacing w:after="120" w:line="240" w:lineRule="auto"/>
        <w:ind w:left="709" w:right="-23" w:hanging="709"/>
        <w:rPr>
          <w:rFonts w:cs="Arial"/>
          <w:b/>
          <w:szCs w:val="20"/>
          <w:lang w:val="en-GB"/>
        </w:rPr>
      </w:pPr>
      <w:r>
        <w:rPr>
          <w:rFonts w:cs="Arial"/>
          <w:b/>
          <w:szCs w:val="20"/>
          <w:lang w:val="en-GB"/>
        </w:rPr>
        <w:t>Notes:</w:t>
      </w:r>
    </w:p>
    <w:p w14:paraId="33D23F8A" w14:textId="12E2A39D" w:rsidR="00AA7E93" w:rsidRPr="00B80433" w:rsidRDefault="00AA7E93" w:rsidP="00C42A28">
      <w:pPr>
        <w:pStyle w:val="ListNumber"/>
        <w:numPr>
          <w:ilvl w:val="0"/>
          <w:numId w:val="16"/>
        </w:numPr>
        <w:rPr>
          <w:lang w:val="en-GB"/>
        </w:rPr>
      </w:pPr>
      <w:r w:rsidRPr="00B80433">
        <w:rPr>
          <w:lang w:val="en-GB"/>
        </w:rPr>
        <w:t>Assignments to the 400 MHz wideband fixed point</w:t>
      </w:r>
      <w:r w:rsidRPr="00B80433">
        <w:rPr>
          <w:lang w:val="en-GB"/>
        </w:rPr>
        <w:noBreakHyphen/>
        <w:t>to</w:t>
      </w:r>
      <w:r w:rsidRPr="00B80433">
        <w:rPr>
          <w:lang w:val="en-GB"/>
        </w:rPr>
        <w:noBreakHyphen/>
        <w:t>point service should not be made within 200 kilometres of Adelaide, Brisbane, Melbourne, Perth or Sydney.</w:t>
      </w:r>
    </w:p>
    <w:p w14:paraId="1AF13ED1" w14:textId="1D4AE7F3" w:rsidR="00AA7E93" w:rsidRDefault="00AA7E93" w:rsidP="00C42A28">
      <w:pPr>
        <w:pStyle w:val="ListNumber"/>
      </w:pPr>
      <w:r>
        <w:rPr>
          <w:lang w:val="en-GB"/>
        </w:rPr>
        <w:t>The emission bandwidth of the 400 MHz wideband fixed point</w:t>
      </w:r>
      <w:r>
        <w:rPr>
          <w:lang w:val="en-GB"/>
        </w:rPr>
        <w:noBreakHyphen/>
        <w:t>to</w:t>
      </w:r>
      <w:r>
        <w:rPr>
          <w:lang w:val="en-GB"/>
        </w:rPr>
        <w:noBreakHyphen/>
        <w:t>point service is between 150–750 kHz.</w:t>
      </w:r>
    </w:p>
    <w:tbl>
      <w:tblPr>
        <w:tblW w:w="13605" w:type="dxa"/>
        <w:tblLayout w:type="fixed"/>
        <w:tblCellMar>
          <w:left w:w="0" w:type="dxa"/>
          <w:right w:w="0" w:type="dxa"/>
        </w:tblCellMar>
        <w:tblLook w:val="01E0" w:firstRow="1" w:lastRow="1" w:firstColumn="1" w:lastColumn="1" w:noHBand="0" w:noVBand="0"/>
      </w:tblPr>
      <w:tblGrid>
        <w:gridCol w:w="13605"/>
      </w:tblGrid>
      <w:tr w:rsidR="00AA7E93" w14:paraId="220E13E3" w14:textId="77777777" w:rsidTr="00C42A28">
        <w:trPr>
          <w:trHeight w:val="570"/>
        </w:trPr>
        <w:tc>
          <w:tcPr>
            <w:tcW w:w="13605" w:type="dxa"/>
            <w:vAlign w:val="center"/>
            <w:hideMark/>
          </w:tcPr>
          <w:p w14:paraId="07389DE5" w14:textId="6AD50E11" w:rsidR="00AA7E93" w:rsidRDefault="00AA7E93" w:rsidP="00C42A28">
            <w:pPr>
              <w:pStyle w:val="Captionfigure"/>
              <w:rPr>
                <w:lang w:eastAsia="en-US"/>
              </w:rPr>
            </w:pPr>
            <w:r>
              <w:rPr>
                <w:lang w:eastAsia="en-US"/>
              </w:rPr>
              <w:lastRenderedPageBreak/>
              <w:t>400 MHz wideband fixed point-to-point service diagram, January 20</w:t>
            </w:r>
            <w:r w:rsidR="0021500B">
              <w:rPr>
                <w:lang w:eastAsia="en-US"/>
              </w:rPr>
              <w:t>20</w:t>
            </w:r>
          </w:p>
        </w:tc>
      </w:tr>
      <w:tr w:rsidR="00AA7E93" w14:paraId="3D5DDC10" w14:textId="77777777" w:rsidTr="00116C56">
        <w:trPr>
          <w:trHeight w:val="3086"/>
        </w:trPr>
        <w:tc>
          <w:tcPr>
            <w:tcW w:w="13605" w:type="dxa"/>
            <w:tcMar>
              <w:top w:w="0" w:type="dxa"/>
              <w:left w:w="28" w:type="dxa"/>
              <w:bottom w:w="0" w:type="dxa"/>
              <w:right w:w="0" w:type="dxa"/>
            </w:tcMar>
            <w:hideMark/>
          </w:tcPr>
          <w:p w14:paraId="111DC010" w14:textId="57835220" w:rsidR="00AA7E93" w:rsidRDefault="00116A99">
            <w:pPr>
              <w:ind w:right="-23"/>
              <w:rPr>
                <w:rFonts w:cs="Arial"/>
                <w:lang w:eastAsia="en-US"/>
              </w:rPr>
            </w:pPr>
            <w:r>
              <w:rPr>
                <w:sz w:val="20"/>
                <w:lang w:eastAsia="en-US"/>
              </w:rPr>
              <w:object w:dxaOrig="12240" w:dyaOrig="5760" w14:anchorId="0D0F8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2: 400 MHz wideband fixed point-to-point service diagram, January 2015" style="width:612pt;height:4in" o:ole="">
                  <v:imagedata r:id="rId15" o:title=""/>
                </v:shape>
                <o:OLEObject Type="Embed" ProgID="PBrush" ShapeID="_x0000_i1025" DrawAspect="Content" ObjectID="_1640433437" r:id="rId16"/>
              </w:object>
            </w:r>
          </w:p>
        </w:tc>
      </w:tr>
      <w:tr w:rsidR="00AA7E93" w14:paraId="4E5317EE" w14:textId="77777777" w:rsidTr="00C42A28">
        <w:trPr>
          <w:trHeight w:val="291"/>
        </w:trPr>
        <w:tc>
          <w:tcPr>
            <w:tcW w:w="13605" w:type="dxa"/>
          </w:tcPr>
          <w:p w14:paraId="54D018C5" w14:textId="77777777" w:rsidR="00AA7E93" w:rsidRDefault="00AA7E93">
            <w:pPr>
              <w:ind w:right="-23"/>
              <w:rPr>
                <w:rFonts w:cs="Arial"/>
                <w:lang w:eastAsia="en-US"/>
              </w:rPr>
            </w:pPr>
          </w:p>
        </w:tc>
      </w:tr>
    </w:tbl>
    <w:p w14:paraId="64C9E18C" w14:textId="77777777" w:rsidR="00AA7E93" w:rsidRDefault="00AA7E93" w:rsidP="00AA7E93">
      <w:pPr>
        <w:ind w:right="-23"/>
        <w:rPr>
          <w:sz w:val="20"/>
        </w:rPr>
      </w:pPr>
    </w:p>
    <w:p w14:paraId="2FDE9AC4" w14:textId="6BBB23B0" w:rsidR="00AA7E93" w:rsidRDefault="00AA7E93" w:rsidP="00AA7E93">
      <w:pPr>
        <w:pStyle w:val="ListNumber2"/>
        <w:numPr>
          <w:ilvl w:val="0"/>
          <w:numId w:val="0"/>
        </w:numPr>
        <w:ind w:right="-23"/>
        <w:rPr>
          <w:rFonts w:cs="Arial"/>
        </w:rPr>
      </w:pPr>
    </w:p>
    <w:p w14:paraId="055502C3" w14:textId="2957B501" w:rsidR="00B80433" w:rsidRDefault="00B80433" w:rsidP="00AA7E93">
      <w:pPr>
        <w:pStyle w:val="ListNumber2"/>
        <w:numPr>
          <w:ilvl w:val="0"/>
          <w:numId w:val="0"/>
        </w:numPr>
        <w:ind w:right="-23"/>
        <w:rPr>
          <w:rFonts w:cs="Arial"/>
        </w:rPr>
      </w:pPr>
    </w:p>
    <w:p w14:paraId="24C7A9C0" w14:textId="40289B22" w:rsidR="00B80433" w:rsidRDefault="00B80433" w:rsidP="00AA7E93">
      <w:pPr>
        <w:pStyle w:val="ListNumber2"/>
        <w:numPr>
          <w:ilvl w:val="0"/>
          <w:numId w:val="0"/>
        </w:numPr>
        <w:ind w:right="-23"/>
        <w:rPr>
          <w:rFonts w:cs="Arial"/>
        </w:rPr>
      </w:pPr>
    </w:p>
    <w:p w14:paraId="70D443E3" w14:textId="77777777" w:rsidR="005803C2" w:rsidRDefault="005803C2" w:rsidP="00AA7E93">
      <w:pPr>
        <w:pStyle w:val="ListNumber2"/>
        <w:numPr>
          <w:ilvl w:val="0"/>
          <w:numId w:val="0"/>
        </w:numPr>
        <w:ind w:right="-23"/>
        <w:rPr>
          <w:rFonts w:cs="Arial"/>
        </w:rPr>
      </w:pPr>
    </w:p>
    <w:p w14:paraId="06032AEE" w14:textId="42929226" w:rsidR="00B80433" w:rsidRDefault="00B80433" w:rsidP="00AA7E93">
      <w:pPr>
        <w:pStyle w:val="ListNumber2"/>
        <w:numPr>
          <w:ilvl w:val="0"/>
          <w:numId w:val="0"/>
        </w:numPr>
        <w:ind w:right="-23"/>
        <w:rPr>
          <w:rFonts w:cs="Arial"/>
        </w:rPr>
      </w:pPr>
    </w:p>
    <w:p w14:paraId="0BFDA3A9" w14:textId="77777777" w:rsidR="00B80433" w:rsidRDefault="00B80433" w:rsidP="00AA7E93">
      <w:pPr>
        <w:pStyle w:val="ListNumber2"/>
        <w:numPr>
          <w:ilvl w:val="0"/>
          <w:numId w:val="0"/>
        </w:numPr>
        <w:ind w:right="-23"/>
        <w:rPr>
          <w:rFonts w:cs="Arial"/>
        </w:rPr>
      </w:pPr>
    </w:p>
    <w:tbl>
      <w:tblPr>
        <w:tblW w:w="13605" w:type="dxa"/>
        <w:tblLayout w:type="fixed"/>
        <w:tblCellMar>
          <w:left w:w="0" w:type="dxa"/>
          <w:right w:w="0" w:type="dxa"/>
        </w:tblCellMar>
        <w:tblLook w:val="01E0" w:firstRow="1" w:lastRow="1" w:firstColumn="1" w:lastColumn="1" w:noHBand="0" w:noVBand="0"/>
      </w:tblPr>
      <w:tblGrid>
        <w:gridCol w:w="13605"/>
      </w:tblGrid>
      <w:tr w:rsidR="00AA7E93" w14:paraId="0FFB2631" w14:textId="77777777" w:rsidTr="00C42A28">
        <w:trPr>
          <w:trHeight w:val="570"/>
        </w:trPr>
        <w:tc>
          <w:tcPr>
            <w:tcW w:w="13605" w:type="dxa"/>
            <w:vAlign w:val="center"/>
            <w:hideMark/>
          </w:tcPr>
          <w:p w14:paraId="09E4220E" w14:textId="60D9AD49" w:rsidR="00AA7E93" w:rsidRDefault="00AA7E93" w:rsidP="00C42A28">
            <w:pPr>
              <w:pStyle w:val="Caption"/>
              <w:rPr>
                <w:lang w:eastAsia="en-US"/>
              </w:rPr>
            </w:pPr>
            <w:r>
              <w:rPr>
                <w:lang w:eastAsia="en-US"/>
              </w:rPr>
              <w:lastRenderedPageBreak/>
              <w:t xml:space="preserve">Channelling arrangements for the 400 MHz </w:t>
            </w:r>
            <w:r w:rsidRPr="00C42A28">
              <w:t>wideband</w:t>
            </w:r>
            <w:r>
              <w:rPr>
                <w:lang w:eastAsia="en-US"/>
              </w:rPr>
              <w:t xml:space="preserve"> fixed point-to-multipoint service (see notes), </w:t>
            </w:r>
            <w:r w:rsidR="0021500B">
              <w:rPr>
                <w:lang w:eastAsia="en-US"/>
              </w:rPr>
              <w:t>January</w:t>
            </w:r>
            <w:r>
              <w:rPr>
                <w:lang w:eastAsia="en-US"/>
              </w:rPr>
              <w:t xml:space="preserve"> 20</w:t>
            </w:r>
            <w:r w:rsidR="0021500B">
              <w:rPr>
                <w:lang w:eastAsia="en-US"/>
              </w:rPr>
              <w:t>20</w:t>
            </w:r>
          </w:p>
        </w:tc>
      </w:tr>
      <w:tr w:rsidR="00AA7E93" w14:paraId="1DEB242A" w14:textId="77777777" w:rsidTr="00C42A28">
        <w:trPr>
          <w:trHeight w:val="3086"/>
        </w:trPr>
        <w:tc>
          <w:tcPr>
            <w:tcW w:w="13605" w:type="dxa"/>
            <w:tcMar>
              <w:top w:w="0" w:type="dxa"/>
              <w:left w:w="28" w:type="dxa"/>
              <w:bottom w:w="0" w:type="dxa"/>
              <w:right w:w="0" w:type="dxa"/>
            </w:tcMar>
            <w:hideMark/>
          </w:tcPr>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134"/>
              <w:gridCol w:w="2649"/>
              <w:gridCol w:w="753"/>
              <w:gridCol w:w="3499"/>
            </w:tblGrid>
            <w:tr w:rsidR="00AA7E93" w14:paraId="5467EB66" w14:textId="77777777" w:rsidTr="00116C56">
              <w:trPr>
                <w:cantSplit/>
              </w:trPr>
              <w:tc>
                <w:tcPr>
                  <w:tcW w:w="3783" w:type="dxa"/>
                  <w:gridSpan w:val="2"/>
                  <w:tcBorders>
                    <w:top w:val="single" w:sz="12" w:space="0" w:color="auto"/>
                    <w:left w:val="single" w:sz="12" w:space="0" w:color="auto"/>
                    <w:bottom w:val="single" w:sz="6" w:space="0" w:color="auto"/>
                    <w:right w:val="single" w:sz="6" w:space="0" w:color="auto"/>
                  </w:tcBorders>
                  <w:hideMark/>
                </w:tcPr>
                <w:p w14:paraId="30F4D4A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Channel</w:t>
                  </w:r>
                </w:p>
              </w:tc>
              <w:tc>
                <w:tcPr>
                  <w:tcW w:w="4252" w:type="dxa"/>
                  <w:gridSpan w:val="2"/>
                  <w:tcBorders>
                    <w:top w:val="single" w:sz="12" w:space="0" w:color="auto"/>
                    <w:left w:val="single" w:sz="6" w:space="0" w:color="auto"/>
                    <w:bottom w:val="single" w:sz="6" w:space="0" w:color="auto"/>
                    <w:right w:val="single" w:sz="12" w:space="0" w:color="auto"/>
                  </w:tcBorders>
                  <w:hideMark/>
                </w:tcPr>
                <w:p w14:paraId="3B8E127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Paired channel</w:t>
                  </w:r>
                </w:p>
              </w:tc>
            </w:tr>
            <w:tr w:rsidR="00AA7E93" w14:paraId="41C707FF" w14:textId="77777777" w:rsidTr="00116C56">
              <w:trPr>
                <w:cantSplit/>
              </w:trPr>
              <w:tc>
                <w:tcPr>
                  <w:tcW w:w="1134" w:type="dxa"/>
                  <w:tcBorders>
                    <w:top w:val="nil"/>
                    <w:left w:val="single" w:sz="12" w:space="0" w:color="auto"/>
                    <w:bottom w:val="single" w:sz="12" w:space="0" w:color="auto"/>
                    <w:right w:val="single" w:sz="6" w:space="0" w:color="auto"/>
                  </w:tcBorders>
                  <w:hideMark/>
                </w:tcPr>
                <w:p w14:paraId="31BE856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No</w:t>
                  </w:r>
                </w:p>
              </w:tc>
              <w:tc>
                <w:tcPr>
                  <w:tcW w:w="2649" w:type="dxa"/>
                  <w:tcBorders>
                    <w:top w:val="nil"/>
                    <w:left w:val="single" w:sz="6" w:space="0" w:color="auto"/>
                    <w:bottom w:val="single" w:sz="12" w:space="0" w:color="auto"/>
                    <w:right w:val="single" w:sz="6" w:space="0" w:color="auto"/>
                  </w:tcBorders>
                  <w:hideMark/>
                </w:tcPr>
                <w:p w14:paraId="751119C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Centre frequency (MHz)</w:t>
                  </w:r>
                </w:p>
              </w:tc>
              <w:tc>
                <w:tcPr>
                  <w:tcW w:w="753" w:type="dxa"/>
                  <w:tcBorders>
                    <w:top w:val="nil"/>
                    <w:left w:val="single" w:sz="6" w:space="0" w:color="auto"/>
                    <w:bottom w:val="single" w:sz="12" w:space="0" w:color="auto"/>
                    <w:right w:val="single" w:sz="6" w:space="0" w:color="auto"/>
                  </w:tcBorders>
                  <w:hideMark/>
                </w:tcPr>
                <w:p w14:paraId="2C170B8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No</w:t>
                  </w:r>
                </w:p>
              </w:tc>
              <w:tc>
                <w:tcPr>
                  <w:tcW w:w="3499" w:type="dxa"/>
                  <w:tcBorders>
                    <w:top w:val="nil"/>
                    <w:left w:val="single" w:sz="6" w:space="0" w:color="auto"/>
                    <w:bottom w:val="single" w:sz="12" w:space="0" w:color="auto"/>
                    <w:right w:val="single" w:sz="12" w:space="0" w:color="auto"/>
                  </w:tcBorders>
                  <w:hideMark/>
                </w:tcPr>
                <w:p w14:paraId="0B22669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Centre frequency (MHz)</w:t>
                  </w:r>
                </w:p>
              </w:tc>
            </w:tr>
            <w:tr w:rsidR="00AA7E93" w14:paraId="283543D7" w14:textId="77777777" w:rsidTr="00116C56">
              <w:trPr>
                <w:cantSplit/>
              </w:trPr>
              <w:tc>
                <w:tcPr>
                  <w:tcW w:w="1134" w:type="dxa"/>
                  <w:tcBorders>
                    <w:top w:val="nil"/>
                    <w:left w:val="single" w:sz="12" w:space="0" w:color="auto"/>
                    <w:bottom w:val="single" w:sz="6" w:space="0" w:color="auto"/>
                    <w:right w:val="single" w:sz="6" w:space="0" w:color="auto"/>
                  </w:tcBorders>
                  <w:hideMark/>
                </w:tcPr>
                <w:p w14:paraId="0B8AAA9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w:t>
                  </w:r>
                </w:p>
              </w:tc>
              <w:tc>
                <w:tcPr>
                  <w:tcW w:w="2649" w:type="dxa"/>
                  <w:tcBorders>
                    <w:top w:val="nil"/>
                    <w:left w:val="single" w:sz="6" w:space="0" w:color="auto"/>
                    <w:bottom w:val="single" w:sz="6" w:space="0" w:color="auto"/>
                    <w:right w:val="single" w:sz="6" w:space="0" w:color="auto"/>
                  </w:tcBorders>
                  <w:hideMark/>
                </w:tcPr>
                <w:p w14:paraId="61C00ED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501.9</w:t>
                  </w:r>
                </w:p>
              </w:tc>
              <w:tc>
                <w:tcPr>
                  <w:tcW w:w="753" w:type="dxa"/>
                  <w:tcBorders>
                    <w:top w:val="nil"/>
                    <w:left w:val="single" w:sz="6" w:space="0" w:color="auto"/>
                    <w:bottom w:val="single" w:sz="6" w:space="0" w:color="auto"/>
                    <w:right w:val="single" w:sz="6" w:space="0" w:color="auto"/>
                  </w:tcBorders>
                  <w:hideMark/>
                </w:tcPr>
                <w:p w14:paraId="20073F94"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w:t>
                  </w:r>
                </w:p>
              </w:tc>
              <w:tc>
                <w:tcPr>
                  <w:tcW w:w="3499" w:type="dxa"/>
                  <w:tcBorders>
                    <w:top w:val="nil"/>
                    <w:left w:val="single" w:sz="6" w:space="0" w:color="auto"/>
                    <w:bottom w:val="single" w:sz="6" w:space="0" w:color="auto"/>
                    <w:right w:val="single" w:sz="12" w:space="0" w:color="auto"/>
                  </w:tcBorders>
                  <w:hideMark/>
                </w:tcPr>
                <w:p w14:paraId="511EDDF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511.9</w:t>
                  </w:r>
                </w:p>
              </w:tc>
            </w:tr>
            <w:tr w:rsidR="00AA7E93" w14:paraId="5C4A0747"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1E78480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2</w:t>
                  </w:r>
                </w:p>
              </w:tc>
              <w:tc>
                <w:tcPr>
                  <w:tcW w:w="2649" w:type="dxa"/>
                  <w:tcBorders>
                    <w:top w:val="single" w:sz="6" w:space="0" w:color="auto"/>
                    <w:left w:val="single" w:sz="6" w:space="0" w:color="auto"/>
                    <w:bottom w:val="single" w:sz="6" w:space="0" w:color="auto"/>
                    <w:right w:val="single" w:sz="6" w:space="0" w:color="auto"/>
                  </w:tcBorders>
                  <w:hideMark/>
                </w:tcPr>
                <w:p w14:paraId="0770F65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503.1</w:t>
                  </w:r>
                </w:p>
              </w:tc>
              <w:tc>
                <w:tcPr>
                  <w:tcW w:w="753" w:type="dxa"/>
                  <w:tcBorders>
                    <w:top w:val="single" w:sz="6" w:space="0" w:color="auto"/>
                    <w:left w:val="single" w:sz="6" w:space="0" w:color="auto"/>
                    <w:bottom w:val="single" w:sz="6" w:space="0" w:color="auto"/>
                    <w:right w:val="single" w:sz="6" w:space="0" w:color="auto"/>
                  </w:tcBorders>
                  <w:hideMark/>
                </w:tcPr>
                <w:p w14:paraId="13A806E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2'</w:t>
                  </w:r>
                </w:p>
              </w:tc>
              <w:tc>
                <w:tcPr>
                  <w:tcW w:w="3499" w:type="dxa"/>
                  <w:tcBorders>
                    <w:top w:val="single" w:sz="6" w:space="0" w:color="auto"/>
                    <w:left w:val="single" w:sz="6" w:space="0" w:color="auto"/>
                    <w:bottom w:val="single" w:sz="6" w:space="0" w:color="auto"/>
                    <w:right w:val="single" w:sz="12" w:space="0" w:color="auto"/>
                  </w:tcBorders>
                  <w:hideMark/>
                </w:tcPr>
                <w:p w14:paraId="301CCF5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513.1</w:t>
                  </w:r>
                </w:p>
              </w:tc>
            </w:tr>
            <w:tr w:rsidR="00AA7E93" w14:paraId="29339E23"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1F06191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3</w:t>
                  </w:r>
                </w:p>
              </w:tc>
              <w:tc>
                <w:tcPr>
                  <w:tcW w:w="2649" w:type="dxa"/>
                  <w:tcBorders>
                    <w:top w:val="single" w:sz="6" w:space="0" w:color="auto"/>
                    <w:left w:val="single" w:sz="6" w:space="0" w:color="auto"/>
                    <w:bottom w:val="single" w:sz="6" w:space="0" w:color="auto"/>
                    <w:right w:val="single" w:sz="6" w:space="0" w:color="auto"/>
                  </w:tcBorders>
                  <w:hideMark/>
                </w:tcPr>
                <w:p w14:paraId="47FE641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504.3</w:t>
                  </w:r>
                </w:p>
              </w:tc>
              <w:tc>
                <w:tcPr>
                  <w:tcW w:w="753" w:type="dxa"/>
                  <w:tcBorders>
                    <w:top w:val="single" w:sz="6" w:space="0" w:color="auto"/>
                    <w:left w:val="single" w:sz="6" w:space="0" w:color="auto"/>
                    <w:bottom w:val="single" w:sz="6" w:space="0" w:color="auto"/>
                    <w:right w:val="single" w:sz="6" w:space="0" w:color="auto"/>
                  </w:tcBorders>
                  <w:hideMark/>
                </w:tcPr>
                <w:p w14:paraId="0551EE0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3'</w:t>
                  </w:r>
                </w:p>
              </w:tc>
              <w:tc>
                <w:tcPr>
                  <w:tcW w:w="3499" w:type="dxa"/>
                  <w:tcBorders>
                    <w:top w:val="single" w:sz="6" w:space="0" w:color="auto"/>
                    <w:left w:val="single" w:sz="6" w:space="0" w:color="auto"/>
                    <w:bottom w:val="single" w:sz="6" w:space="0" w:color="auto"/>
                    <w:right w:val="single" w:sz="12" w:space="0" w:color="auto"/>
                  </w:tcBorders>
                  <w:hideMark/>
                </w:tcPr>
                <w:p w14:paraId="3324E36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514.3</w:t>
                  </w:r>
                </w:p>
              </w:tc>
            </w:tr>
            <w:tr w:rsidR="00AA7E93" w14:paraId="248A745F"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3C466A6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w:t>
                  </w:r>
                </w:p>
              </w:tc>
              <w:tc>
                <w:tcPr>
                  <w:tcW w:w="2649" w:type="dxa"/>
                  <w:tcBorders>
                    <w:top w:val="single" w:sz="6" w:space="0" w:color="auto"/>
                    <w:left w:val="single" w:sz="6" w:space="0" w:color="auto"/>
                    <w:bottom w:val="single" w:sz="6" w:space="0" w:color="auto"/>
                    <w:right w:val="single" w:sz="6" w:space="0" w:color="auto"/>
                  </w:tcBorders>
                  <w:hideMark/>
                </w:tcPr>
                <w:p w14:paraId="746CA20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505.5</w:t>
                  </w:r>
                </w:p>
              </w:tc>
              <w:tc>
                <w:tcPr>
                  <w:tcW w:w="753" w:type="dxa"/>
                  <w:tcBorders>
                    <w:top w:val="single" w:sz="6" w:space="0" w:color="auto"/>
                    <w:left w:val="single" w:sz="6" w:space="0" w:color="auto"/>
                    <w:bottom w:val="single" w:sz="6" w:space="0" w:color="auto"/>
                    <w:right w:val="single" w:sz="6" w:space="0" w:color="auto"/>
                  </w:tcBorders>
                  <w:hideMark/>
                </w:tcPr>
                <w:p w14:paraId="06917BC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w:t>
                  </w:r>
                </w:p>
              </w:tc>
              <w:tc>
                <w:tcPr>
                  <w:tcW w:w="3499" w:type="dxa"/>
                  <w:tcBorders>
                    <w:top w:val="single" w:sz="6" w:space="0" w:color="auto"/>
                    <w:left w:val="single" w:sz="6" w:space="0" w:color="auto"/>
                    <w:bottom w:val="single" w:sz="6" w:space="0" w:color="auto"/>
                    <w:right w:val="single" w:sz="12" w:space="0" w:color="auto"/>
                  </w:tcBorders>
                  <w:hideMark/>
                </w:tcPr>
                <w:p w14:paraId="16465DD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515.5</w:t>
                  </w:r>
                </w:p>
              </w:tc>
            </w:tr>
            <w:tr w:rsidR="00AA7E93" w14:paraId="42529420"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6E9F18A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w:t>
                  </w:r>
                </w:p>
              </w:tc>
              <w:tc>
                <w:tcPr>
                  <w:tcW w:w="2649" w:type="dxa"/>
                  <w:tcBorders>
                    <w:top w:val="single" w:sz="6" w:space="0" w:color="auto"/>
                    <w:left w:val="single" w:sz="6" w:space="0" w:color="auto"/>
                    <w:bottom w:val="single" w:sz="6" w:space="0" w:color="auto"/>
                    <w:right w:val="single" w:sz="6" w:space="0" w:color="auto"/>
                  </w:tcBorders>
                  <w:hideMark/>
                </w:tcPr>
                <w:p w14:paraId="6880DA9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506.7</w:t>
                  </w:r>
                </w:p>
              </w:tc>
              <w:tc>
                <w:tcPr>
                  <w:tcW w:w="753" w:type="dxa"/>
                  <w:tcBorders>
                    <w:top w:val="single" w:sz="6" w:space="0" w:color="auto"/>
                    <w:left w:val="single" w:sz="6" w:space="0" w:color="auto"/>
                    <w:bottom w:val="single" w:sz="6" w:space="0" w:color="auto"/>
                    <w:right w:val="single" w:sz="6" w:space="0" w:color="auto"/>
                  </w:tcBorders>
                  <w:hideMark/>
                </w:tcPr>
                <w:p w14:paraId="324DACB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w:t>
                  </w:r>
                </w:p>
              </w:tc>
              <w:tc>
                <w:tcPr>
                  <w:tcW w:w="3499" w:type="dxa"/>
                  <w:tcBorders>
                    <w:top w:val="single" w:sz="6" w:space="0" w:color="auto"/>
                    <w:left w:val="single" w:sz="6" w:space="0" w:color="auto"/>
                    <w:bottom w:val="single" w:sz="6" w:space="0" w:color="auto"/>
                    <w:right w:val="single" w:sz="12" w:space="0" w:color="auto"/>
                  </w:tcBorders>
                  <w:hideMark/>
                </w:tcPr>
                <w:p w14:paraId="68E8B41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516.7</w:t>
                  </w:r>
                </w:p>
              </w:tc>
            </w:tr>
            <w:tr w:rsidR="00AA7E93" w14:paraId="71CA3E93"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7509766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6</w:t>
                  </w:r>
                </w:p>
              </w:tc>
              <w:tc>
                <w:tcPr>
                  <w:tcW w:w="2649" w:type="dxa"/>
                  <w:tcBorders>
                    <w:top w:val="single" w:sz="6" w:space="0" w:color="auto"/>
                    <w:left w:val="single" w:sz="6" w:space="0" w:color="auto"/>
                    <w:bottom w:val="single" w:sz="6" w:space="0" w:color="auto"/>
                    <w:right w:val="single" w:sz="6" w:space="0" w:color="auto"/>
                  </w:tcBorders>
                  <w:hideMark/>
                </w:tcPr>
                <w:p w14:paraId="0711158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507.9</w:t>
                  </w:r>
                </w:p>
              </w:tc>
              <w:tc>
                <w:tcPr>
                  <w:tcW w:w="753" w:type="dxa"/>
                  <w:tcBorders>
                    <w:top w:val="single" w:sz="6" w:space="0" w:color="auto"/>
                    <w:left w:val="single" w:sz="6" w:space="0" w:color="auto"/>
                    <w:bottom w:val="single" w:sz="6" w:space="0" w:color="auto"/>
                    <w:right w:val="single" w:sz="6" w:space="0" w:color="auto"/>
                  </w:tcBorders>
                  <w:hideMark/>
                </w:tcPr>
                <w:p w14:paraId="3573C57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6'</w:t>
                  </w:r>
                </w:p>
              </w:tc>
              <w:tc>
                <w:tcPr>
                  <w:tcW w:w="3499" w:type="dxa"/>
                  <w:tcBorders>
                    <w:top w:val="single" w:sz="6" w:space="0" w:color="auto"/>
                    <w:left w:val="single" w:sz="6" w:space="0" w:color="auto"/>
                    <w:bottom w:val="single" w:sz="6" w:space="0" w:color="auto"/>
                    <w:right w:val="single" w:sz="12" w:space="0" w:color="auto"/>
                  </w:tcBorders>
                  <w:hideMark/>
                </w:tcPr>
                <w:p w14:paraId="356B55E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517.9</w:t>
                  </w:r>
                </w:p>
              </w:tc>
            </w:tr>
            <w:tr w:rsidR="00AA7E93" w14:paraId="7F91C0D6"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76CF833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7</w:t>
                  </w:r>
                </w:p>
              </w:tc>
              <w:tc>
                <w:tcPr>
                  <w:tcW w:w="2649" w:type="dxa"/>
                  <w:tcBorders>
                    <w:top w:val="single" w:sz="6" w:space="0" w:color="auto"/>
                    <w:left w:val="single" w:sz="6" w:space="0" w:color="auto"/>
                    <w:bottom w:val="single" w:sz="6" w:space="0" w:color="auto"/>
                    <w:right w:val="single" w:sz="6" w:space="0" w:color="auto"/>
                  </w:tcBorders>
                  <w:hideMark/>
                </w:tcPr>
                <w:p w14:paraId="11E8B6F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509.1</w:t>
                  </w:r>
                </w:p>
              </w:tc>
              <w:tc>
                <w:tcPr>
                  <w:tcW w:w="753" w:type="dxa"/>
                  <w:tcBorders>
                    <w:top w:val="single" w:sz="6" w:space="0" w:color="auto"/>
                    <w:left w:val="single" w:sz="6" w:space="0" w:color="auto"/>
                    <w:bottom w:val="single" w:sz="6" w:space="0" w:color="auto"/>
                    <w:right w:val="single" w:sz="6" w:space="0" w:color="auto"/>
                  </w:tcBorders>
                  <w:hideMark/>
                </w:tcPr>
                <w:p w14:paraId="27BFABD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7'</w:t>
                  </w:r>
                </w:p>
              </w:tc>
              <w:tc>
                <w:tcPr>
                  <w:tcW w:w="3499" w:type="dxa"/>
                  <w:tcBorders>
                    <w:top w:val="single" w:sz="6" w:space="0" w:color="auto"/>
                    <w:left w:val="single" w:sz="6" w:space="0" w:color="auto"/>
                    <w:bottom w:val="single" w:sz="6" w:space="0" w:color="auto"/>
                    <w:right w:val="single" w:sz="12" w:space="0" w:color="auto"/>
                  </w:tcBorders>
                  <w:hideMark/>
                </w:tcPr>
                <w:p w14:paraId="7F306B4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519.1</w:t>
                  </w:r>
                </w:p>
              </w:tc>
            </w:tr>
            <w:tr w:rsidR="00AA7E93" w14:paraId="17184FC6"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159FDDC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w:t>
                  </w:r>
                </w:p>
              </w:tc>
              <w:tc>
                <w:tcPr>
                  <w:tcW w:w="2649" w:type="dxa"/>
                  <w:tcBorders>
                    <w:top w:val="single" w:sz="6" w:space="0" w:color="auto"/>
                    <w:left w:val="single" w:sz="6" w:space="0" w:color="auto"/>
                    <w:bottom w:val="single" w:sz="6" w:space="0" w:color="auto"/>
                    <w:right w:val="single" w:sz="6" w:space="0" w:color="auto"/>
                  </w:tcBorders>
                  <w:hideMark/>
                </w:tcPr>
                <w:p w14:paraId="310C2E3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511.9</w:t>
                  </w:r>
                </w:p>
              </w:tc>
              <w:tc>
                <w:tcPr>
                  <w:tcW w:w="753" w:type="dxa"/>
                  <w:tcBorders>
                    <w:top w:val="single" w:sz="6" w:space="0" w:color="auto"/>
                    <w:left w:val="single" w:sz="6" w:space="0" w:color="auto"/>
                    <w:bottom w:val="single" w:sz="6" w:space="0" w:color="auto"/>
                    <w:right w:val="single" w:sz="6" w:space="0" w:color="auto"/>
                  </w:tcBorders>
                  <w:hideMark/>
                </w:tcPr>
                <w:p w14:paraId="3B56487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1</w:t>
                  </w:r>
                </w:p>
              </w:tc>
              <w:tc>
                <w:tcPr>
                  <w:tcW w:w="3499" w:type="dxa"/>
                  <w:tcBorders>
                    <w:top w:val="single" w:sz="6" w:space="0" w:color="auto"/>
                    <w:left w:val="single" w:sz="6" w:space="0" w:color="auto"/>
                    <w:bottom w:val="single" w:sz="6" w:space="0" w:color="auto"/>
                    <w:right w:val="single" w:sz="12" w:space="0" w:color="auto"/>
                  </w:tcBorders>
                  <w:hideMark/>
                </w:tcPr>
                <w:p w14:paraId="78274F4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501.9</w:t>
                  </w:r>
                </w:p>
              </w:tc>
            </w:tr>
            <w:tr w:rsidR="00AA7E93" w14:paraId="45FC4F7E"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1AB92CC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2'</w:t>
                  </w:r>
                </w:p>
              </w:tc>
              <w:tc>
                <w:tcPr>
                  <w:tcW w:w="2649" w:type="dxa"/>
                  <w:tcBorders>
                    <w:top w:val="single" w:sz="6" w:space="0" w:color="auto"/>
                    <w:left w:val="single" w:sz="6" w:space="0" w:color="auto"/>
                    <w:bottom w:val="single" w:sz="6" w:space="0" w:color="auto"/>
                    <w:right w:val="single" w:sz="6" w:space="0" w:color="auto"/>
                  </w:tcBorders>
                  <w:hideMark/>
                </w:tcPr>
                <w:p w14:paraId="4CF7C3E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513.1</w:t>
                  </w:r>
                </w:p>
              </w:tc>
              <w:tc>
                <w:tcPr>
                  <w:tcW w:w="753" w:type="dxa"/>
                  <w:tcBorders>
                    <w:top w:val="single" w:sz="6" w:space="0" w:color="auto"/>
                    <w:left w:val="single" w:sz="6" w:space="0" w:color="auto"/>
                    <w:bottom w:val="single" w:sz="6" w:space="0" w:color="auto"/>
                    <w:right w:val="single" w:sz="6" w:space="0" w:color="auto"/>
                  </w:tcBorders>
                  <w:hideMark/>
                </w:tcPr>
                <w:p w14:paraId="5824620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2</w:t>
                  </w:r>
                </w:p>
              </w:tc>
              <w:tc>
                <w:tcPr>
                  <w:tcW w:w="3499" w:type="dxa"/>
                  <w:tcBorders>
                    <w:top w:val="single" w:sz="6" w:space="0" w:color="auto"/>
                    <w:left w:val="single" w:sz="6" w:space="0" w:color="auto"/>
                    <w:bottom w:val="single" w:sz="6" w:space="0" w:color="auto"/>
                    <w:right w:val="single" w:sz="12" w:space="0" w:color="auto"/>
                  </w:tcBorders>
                  <w:hideMark/>
                </w:tcPr>
                <w:p w14:paraId="06D21F0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503.1</w:t>
                  </w:r>
                </w:p>
              </w:tc>
            </w:tr>
            <w:tr w:rsidR="00AA7E93" w14:paraId="1A61A2B2"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7B825E5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3'</w:t>
                  </w:r>
                </w:p>
              </w:tc>
              <w:tc>
                <w:tcPr>
                  <w:tcW w:w="2649" w:type="dxa"/>
                  <w:tcBorders>
                    <w:top w:val="single" w:sz="6" w:space="0" w:color="auto"/>
                    <w:left w:val="single" w:sz="6" w:space="0" w:color="auto"/>
                    <w:bottom w:val="single" w:sz="6" w:space="0" w:color="auto"/>
                    <w:right w:val="single" w:sz="6" w:space="0" w:color="auto"/>
                  </w:tcBorders>
                  <w:hideMark/>
                </w:tcPr>
                <w:p w14:paraId="536A8AC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514.3</w:t>
                  </w:r>
                </w:p>
              </w:tc>
              <w:tc>
                <w:tcPr>
                  <w:tcW w:w="753" w:type="dxa"/>
                  <w:tcBorders>
                    <w:top w:val="single" w:sz="6" w:space="0" w:color="auto"/>
                    <w:left w:val="single" w:sz="6" w:space="0" w:color="auto"/>
                    <w:bottom w:val="single" w:sz="6" w:space="0" w:color="auto"/>
                    <w:right w:val="single" w:sz="6" w:space="0" w:color="auto"/>
                  </w:tcBorders>
                  <w:hideMark/>
                </w:tcPr>
                <w:p w14:paraId="395A8CF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3</w:t>
                  </w:r>
                </w:p>
              </w:tc>
              <w:tc>
                <w:tcPr>
                  <w:tcW w:w="3499" w:type="dxa"/>
                  <w:tcBorders>
                    <w:top w:val="single" w:sz="6" w:space="0" w:color="auto"/>
                    <w:left w:val="single" w:sz="6" w:space="0" w:color="auto"/>
                    <w:bottom w:val="single" w:sz="6" w:space="0" w:color="auto"/>
                    <w:right w:val="single" w:sz="12" w:space="0" w:color="auto"/>
                  </w:tcBorders>
                  <w:hideMark/>
                </w:tcPr>
                <w:p w14:paraId="61DDF08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504.3</w:t>
                  </w:r>
                </w:p>
              </w:tc>
            </w:tr>
            <w:tr w:rsidR="00AA7E93" w14:paraId="7FB9E917"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2EAB41D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w:t>
                  </w:r>
                </w:p>
              </w:tc>
              <w:tc>
                <w:tcPr>
                  <w:tcW w:w="2649" w:type="dxa"/>
                  <w:tcBorders>
                    <w:top w:val="single" w:sz="6" w:space="0" w:color="auto"/>
                    <w:left w:val="single" w:sz="6" w:space="0" w:color="auto"/>
                    <w:bottom w:val="single" w:sz="6" w:space="0" w:color="auto"/>
                    <w:right w:val="single" w:sz="6" w:space="0" w:color="auto"/>
                  </w:tcBorders>
                  <w:hideMark/>
                </w:tcPr>
                <w:p w14:paraId="7B0A5B6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515.5</w:t>
                  </w:r>
                </w:p>
              </w:tc>
              <w:tc>
                <w:tcPr>
                  <w:tcW w:w="753" w:type="dxa"/>
                  <w:tcBorders>
                    <w:top w:val="single" w:sz="6" w:space="0" w:color="auto"/>
                    <w:left w:val="single" w:sz="6" w:space="0" w:color="auto"/>
                    <w:bottom w:val="single" w:sz="6" w:space="0" w:color="auto"/>
                    <w:right w:val="single" w:sz="6" w:space="0" w:color="auto"/>
                  </w:tcBorders>
                  <w:hideMark/>
                </w:tcPr>
                <w:p w14:paraId="576261E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w:t>
                  </w:r>
                </w:p>
              </w:tc>
              <w:tc>
                <w:tcPr>
                  <w:tcW w:w="3499" w:type="dxa"/>
                  <w:tcBorders>
                    <w:top w:val="single" w:sz="6" w:space="0" w:color="auto"/>
                    <w:left w:val="single" w:sz="6" w:space="0" w:color="auto"/>
                    <w:bottom w:val="single" w:sz="6" w:space="0" w:color="auto"/>
                    <w:right w:val="single" w:sz="12" w:space="0" w:color="auto"/>
                  </w:tcBorders>
                  <w:hideMark/>
                </w:tcPr>
                <w:p w14:paraId="7451C32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505.5</w:t>
                  </w:r>
                </w:p>
              </w:tc>
            </w:tr>
            <w:tr w:rsidR="00AA7E93" w14:paraId="3EC85C3D"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1A3023D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w:t>
                  </w:r>
                </w:p>
              </w:tc>
              <w:tc>
                <w:tcPr>
                  <w:tcW w:w="2649" w:type="dxa"/>
                  <w:tcBorders>
                    <w:top w:val="single" w:sz="6" w:space="0" w:color="auto"/>
                    <w:left w:val="single" w:sz="6" w:space="0" w:color="auto"/>
                    <w:bottom w:val="single" w:sz="6" w:space="0" w:color="auto"/>
                    <w:right w:val="single" w:sz="6" w:space="0" w:color="auto"/>
                  </w:tcBorders>
                  <w:hideMark/>
                </w:tcPr>
                <w:p w14:paraId="43DC057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516.7</w:t>
                  </w:r>
                </w:p>
              </w:tc>
              <w:tc>
                <w:tcPr>
                  <w:tcW w:w="753" w:type="dxa"/>
                  <w:tcBorders>
                    <w:top w:val="single" w:sz="6" w:space="0" w:color="auto"/>
                    <w:left w:val="single" w:sz="6" w:space="0" w:color="auto"/>
                    <w:bottom w:val="single" w:sz="6" w:space="0" w:color="auto"/>
                    <w:right w:val="single" w:sz="6" w:space="0" w:color="auto"/>
                  </w:tcBorders>
                  <w:hideMark/>
                </w:tcPr>
                <w:p w14:paraId="6ACB551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w:t>
                  </w:r>
                </w:p>
              </w:tc>
              <w:tc>
                <w:tcPr>
                  <w:tcW w:w="3499" w:type="dxa"/>
                  <w:tcBorders>
                    <w:top w:val="single" w:sz="6" w:space="0" w:color="auto"/>
                    <w:left w:val="single" w:sz="6" w:space="0" w:color="auto"/>
                    <w:bottom w:val="single" w:sz="6" w:space="0" w:color="auto"/>
                    <w:right w:val="single" w:sz="12" w:space="0" w:color="auto"/>
                  </w:tcBorders>
                  <w:hideMark/>
                </w:tcPr>
                <w:p w14:paraId="158C348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506.7</w:t>
                  </w:r>
                </w:p>
              </w:tc>
            </w:tr>
            <w:tr w:rsidR="00AA7E93" w14:paraId="648DE42B" w14:textId="77777777" w:rsidTr="00116C56">
              <w:trPr>
                <w:cantSplit/>
              </w:trPr>
              <w:tc>
                <w:tcPr>
                  <w:tcW w:w="1134" w:type="dxa"/>
                  <w:tcBorders>
                    <w:top w:val="single" w:sz="6" w:space="0" w:color="auto"/>
                    <w:left w:val="single" w:sz="12" w:space="0" w:color="auto"/>
                    <w:bottom w:val="single" w:sz="6" w:space="0" w:color="auto"/>
                    <w:right w:val="single" w:sz="6" w:space="0" w:color="auto"/>
                  </w:tcBorders>
                  <w:hideMark/>
                </w:tcPr>
                <w:p w14:paraId="27875C4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6'</w:t>
                  </w:r>
                </w:p>
              </w:tc>
              <w:tc>
                <w:tcPr>
                  <w:tcW w:w="2649" w:type="dxa"/>
                  <w:tcBorders>
                    <w:top w:val="single" w:sz="6" w:space="0" w:color="auto"/>
                    <w:left w:val="single" w:sz="6" w:space="0" w:color="auto"/>
                    <w:bottom w:val="single" w:sz="6" w:space="0" w:color="auto"/>
                    <w:right w:val="single" w:sz="6" w:space="0" w:color="auto"/>
                  </w:tcBorders>
                  <w:hideMark/>
                </w:tcPr>
                <w:p w14:paraId="0EEC4B5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517.9</w:t>
                  </w:r>
                </w:p>
              </w:tc>
              <w:tc>
                <w:tcPr>
                  <w:tcW w:w="753" w:type="dxa"/>
                  <w:tcBorders>
                    <w:top w:val="single" w:sz="6" w:space="0" w:color="auto"/>
                    <w:left w:val="single" w:sz="6" w:space="0" w:color="auto"/>
                    <w:bottom w:val="single" w:sz="6" w:space="0" w:color="auto"/>
                    <w:right w:val="single" w:sz="6" w:space="0" w:color="auto"/>
                  </w:tcBorders>
                  <w:hideMark/>
                </w:tcPr>
                <w:p w14:paraId="1A1314E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6</w:t>
                  </w:r>
                </w:p>
              </w:tc>
              <w:tc>
                <w:tcPr>
                  <w:tcW w:w="3499" w:type="dxa"/>
                  <w:tcBorders>
                    <w:top w:val="single" w:sz="6" w:space="0" w:color="auto"/>
                    <w:left w:val="single" w:sz="6" w:space="0" w:color="auto"/>
                    <w:bottom w:val="single" w:sz="6" w:space="0" w:color="auto"/>
                    <w:right w:val="single" w:sz="12" w:space="0" w:color="auto"/>
                  </w:tcBorders>
                  <w:hideMark/>
                </w:tcPr>
                <w:p w14:paraId="6914F87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507.9</w:t>
                  </w:r>
                </w:p>
              </w:tc>
            </w:tr>
            <w:tr w:rsidR="00AA7E93" w14:paraId="4E0DEBAD" w14:textId="77777777" w:rsidTr="00116C56">
              <w:trPr>
                <w:cantSplit/>
              </w:trPr>
              <w:tc>
                <w:tcPr>
                  <w:tcW w:w="1134" w:type="dxa"/>
                  <w:tcBorders>
                    <w:top w:val="single" w:sz="6" w:space="0" w:color="auto"/>
                    <w:left w:val="single" w:sz="12" w:space="0" w:color="auto"/>
                    <w:bottom w:val="single" w:sz="12" w:space="0" w:color="auto"/>
                    <w:right w:val="single" w:sz="6" w:space="0" w:color="auto"/>
                  </w:tcBorders>
                  <w:hideMark/>
                </w:tcPr>
                <w:p w14:paraId="3277432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7'</w:t>
                  </w:r>
                </w:p>
              </w:tc>
              <w:tc>
                <w:tcPr>
                  <w:tcW w:w="2649" w:type="dxa"/>
                  <w:tcBorders>
                    <w:top w:val="single" w:sz="6" w:space="0" w:color="auto"/>
                    <w:left w:val="single" w:sz="6" w:space="0" w:color="auto"/>
                    <w:bottom w:val="single" w:sz="12" w:space="0" w:color="auto"/>
                    <w:right w:val="single" w:sz="6" w:space="0" w:color="auto"/>
                  </w:tcBorders>
                  <w:hideMark/>
                </w:tcPr>
                <w:p w14:paraId="245705F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519.1</w:t>
                  </w:r>
                </w:p>
              </w:tc>
              <w:tc>
                <w:tcPr>
                  <w:tcW w:w="753" w:type="dxa"/>
                  <w:tcBorders>
                    <w:top w:val="single" w:sz="6" w:space="0" w:color="auto"/>
                    <w:left w:val="single" w:sz="6" w:space="0" w:color="auto"/>
                    <w:bottom w:val="single" w:sz="12" w:space="0" w:color="auto"/>
                    <w:right w:val="single" w:sz="6" w:space="0" w:color="auto"/>
                  </w:tcBorders>
                  <w:hideMark/>
                </w:tcPr>
                <w:p w14:paraId="398D427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7</w:t>
                  </w:r>
                </w:p>
              </w:tc>
              <w:tc>
                <w:tcPr>
                  <w:tcW w:w="3499" w:type="dxa"/>
                  <w:tcBorders>
                    <w:top w:val="single" w:sz="6" w:space="0" w:color="auto"/>
                    <w:left w:val="single" w:sz="6" w:space="0" w:color="auto"/>
                    <w:bottom w:val="single" w:sz="12" w:space="0" w:color="auto"/>
                    <w:right w:val="single" w:sz="12" w:space="0" w:color="auto"/>
                  </w:tcBorders>
                  <w:hideMark/>
                </w:tcPr>
                <w:p w14:paraId="7B3C296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509.1</w:t>
                  </w:r>
                </w:p>
              </w:tc>
            </w:tr>
          </w:tbl>
          <w:p w14:paraId="071724CB" w14:textId="77777777" w:rsidR="00AA7E93" w:rsidRDefault="00AA7E93">
            <w:pPr>
              <w:ind w:right="-23"/>
              <w:rPr>
                <w:rFonts w:cs="Arial"/>
                <w:sz w:val="20"/>
                <w:lang w:eastAsia="en-US"/>
              </w:rPr>
            </w:pPr>
          </w:p>
        </w:tc>
      </w:tr>
    </w:tbl>
    <w:p w14:paraId="564BF610" w14:textId="77777777" w:rsidR="00AA7E93" w:rsidRDefault="00AA7E93" w:rsidP="00AA7E93">
      <w:pPr>
        <w:widowControl w:val="0"/>
        <w:tabs>
          <w:tab w:val="left" w:pos="1418"/>
        </w:tabs>
        <w:spacing w:before="120" w:after="120" w:line="240" w:lineRule="auto"/>
        <w:ind w:left="2127" w:right="-23" w:hanging="2127"/>
        <w:rPr>
          <w:rFonts w:cs="Arial"/>
          <w:b/>
          <w:szCs w:val="20"/>
          <w:lang w:val="en-GB"/>
        </w:rPr>
      </w:pPr>
      <w:r>
        <w:rPr>
          <w:rFonts w:cs="Arial"/>
          <w:b/>
          <w:szCs w:val="20"/>
          <w:lang w:val="en-GB"/>
        </w:rPr>
        <w:t>Notes:</w:t>
      </w:r>
    </w:p>
    <w:p w14:paraId="3B2BB4BB" w14:textId="7038B147" w:rsidR="00AA7E93" w:rsidRPr="00B80433" w:rsidRDefault="00AA7E93" w:rsidP="00C42A28">
      <w:pPr>
        <w:pStyle w:val="ListNumber"/>
        <w:numPr>
          <w:ilvl w:val="0"/>
          <w:numId w:val="17"/>
        </w:numPr>
        <w:rPr>
          <w:lang w:val="en-GB"/>
        </w:rPr>
      </w:pPr>
      <w:r w:rsidRPr="00B80433">
        <w:rPr>
          <w:lang w:val="en-GB"/>
        </w:rPr>
        <w:t>Assignments to the 400 MHz wideband fixed point</w:t>
      </w:r>
      <w:r w:rsidRPr="00B80433">
        <w:rPr>
          <w:lang w:val="en-GB"/>
        </w:rPr>
        <w:noBreakHyphen/>
        <w:t>to-multipoint service should not be made within 200 kilometres of capital cities.</w:t>
      </w:r>
    </w:p>
    <w:p w14:paraId="16C13983" w14:textId="49F5D905" w:rsidR="00AA7E93" w:rsidRPr="00116C56" w:rsidRDefault="00AA7E93" w:rsidP="00C42A28">
      <w:pPr>
        <w:pStyle w:val="ListNumber"/>
        <w:rPr>
          <w:lang w:val="en-GB"/>
        </w:rPr>
      </w:pPr>
      <w:r w:rsidRPr="00116C56">
        <w:rPr>
          <w:lang w:val="en-GB"/>
        </w:rPr>
        <w:t>The nominal emission bandwidth of the 400 MHz wideband fixed point</w:t>
      </w:r>
      <w:r w:rsidRPr="00116C56">
        <w:rPr>
          <w:lang w:val="en-GB"/>
        </w:rPr>
        <w:noBreakHyphen/>
        <w:t>to</w:t>
      </w:r>
      <w:r w:rsidRPr="00116C56">
        <w:rPr>
          <w:lang w:val="en-GB"/>
        </w:rPr>
        <w:noBreakHyphen/>
        <w:t>multipoint service is 1.82 MHz.</w:t>
      </w:r>
    </w:p>
    <w:p w14:paraId="0DC80653" w14:textId="6C1A8AF2" w:rsidR="00AA7E93" w:rsidRPr="00116C56" w:rsidRDefault="00AA7E93" w:rsidP="00C42A28">
      <w:pPr>
        <w:pStyle w:val="ListNumber"/>
        <w:rPr>
          <w:lang w:val="en-GB"/>
        </w:rPr>
      </w:pPr>
      <w:r w:rsidRPr="00116C56">
        <w:rPr>
          <w:lang w:val="en-GB"/>
        </w:rPr>
        <w:t>Emission bandwidths up to 2 MHz may be used on a case by case basis provided due consideration is given to services operating in adjacent spectrum.</w:t>
      </w:r>
    </w:p>
    <w:tbl>
      <w:tblPr>
        <w:tblW w:w="13605" w:type="dxa"/>
        <w:tblLayout w:type="fixed"/>
        <w:tblCellMar>
          <w:left w:w="0" w:type="dxa"/>
          <w:right w:w="0" w:type="dxa"/>
        </w:tblCellMar>
        <w:tblLook w:val="01E0" w:firstRow="1" w:lastRow="1" w:firstColumn="1" w:lastColumn="1" w:noHBand="0" w:noVBand="0"/>
      </w:tblPr>
      <w:tblGrid>
        <w:gridCol w:w="13605"/>
      </w:tblGrid>
      <w:tr w:rsidR="00AA7E93" w14:paraId="254152B1" w14:textId="77777777" w:rsidTr="00C42A28">
        <w:trPr>
          <w:trHeight w:val="570"/>
        </w:trPr>
        <w:tc>
          <w:tcPr>
            <w:tcW w:w="13608" w:type="dxa"/>
            <w:vAlign w:val="center"/>
            <w:hideMark/>
          </w:tcPr>
          <w:p w14:paraId="4DA74650" w14:textId="3C291184" w:rsidR="00AA7E93" w:rsidRDefault="00AA7E93" w:rsidP="00C42A28">
            <w:pPr>
              <w:pStyle w:val="Captionfigure"/>
              <w:rPr>
                <w:lang w:eastAsia="en-US"/>
              </w:rPr>
            </w:pPr>
            <w:r>
              <w:rPr>
                <w:lang w:eastAsia="en-US"/>
              </w:rPr>
              <w:lastRenderedPageBreak/>
              <w:t xml:space="preserve">400 MHz wideband fixed point-to-multipoint service diagram, </w:t>
            </w:r>
            <w:r w:rsidR="0021500B">
              <w:rPr>
                <w:lang w:eastAsia="en-US"/>
              </w:rPr>
              <w:t>January</w:t>
            </w:r>
            <w:r>
              <w:rPr>
                <w:lang w:eastAsia="en-US"/>
              </w:rPr>
              <w:t xml:space="preserve"> 20</w:t>
            </w:r>
            <w:r w:rsidR="0021500B">
              <w:rPr>
                <w:lang w:eastAsia="en-US"/>
              </w:rPr>
              <w:t>20</w:t>
            </w:r>
          </w:p>
        </w:tc>
      </w:tr>
      <w:tr w:rsidR="00AA7E93" w14:paraId="73E74D20" w14:textId="77777777" w:rsidTr="00AA7E93">
        <w:trPr>
          <w:trHeight w:val="3086"/>
        </w:trPr>
        <w:tc>
          <w:tcPr>
            <w:tcW w:w="13608" w:type="dxa"/>
            <w:tcMar>
              <w:top w:w="0" w:type="dxa"/>
              <w:left w:w="28" w:type="dxa"/>
              <w:bottom w:w="0" w:type="dxa"/>
              <w:right w:w="0" w:type="dxa"/>
            </w:tcMar>
            <w:hideMark/>
          </w:tcPr>
          <w:p w14:paraId="560E0BCB" w14:textId="0A5BA88C" w:rsidR="00AA7E93" w:rsidRDefault="00AA7E93">
            <w:pPr>
              <w:ind w:right="-23"/>
              <w:rPr>
                <w:rFonts w:cs="Arial"/>
                <w:lang w:eastAsia="en-US"/>
              </w:rPr>
            </w:pPr>
            <w:r>
              <w:rPr>
                <w:rFonts w:cs="Arial"/>
                <w:noProof/>
                <w:lang w:eastAsia="en-US"/>
              </w:rPr>
              <w:drawing>
                <wp:inline distT="0" distB="0" distL="0" distR="0" wp14:anchorId="28E376E6" wp14:editId="791A60A1">
                  <wp:extent cx="5926455" cy="3295650"/>
                  <wp:effectExtent l="0" t="0" r="0" b="0"/>
                  <wp:docPr id="1" name="Picture 1" descr="400 MHz wideband fixed point-to-multipoint service diagram, Decemb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3295650"/>
                          </a:xfrm>
                          <a:prstGeom prst="rect">
                            <a:avLst/>
                          </a:prstGeom>
                          <a:noFill/>
                          <a:ln>
                            <a:noFill/>
                          </a:ln>
                        </pic:spPr>
                      </pic:pic>
                    </a:graphicData>
                  </a:graphic>
                </wp:inline>
              </w:drawing>
            </w:r>
          </w:p>
        </w:tc>
      </w:tr>
      <w:tr w:rsidR="00AA7E93" w14:paraId="49514C2F" w14:textId="77777777" w:rsidTr="00270212">
        <w:trPr>
          <w:trHeight w:val="291"/>
        </w:trPr>
        <w:tc>
          <w:tcPr>
            <w:tcW w:w="13608" w:type="dxa"/>
          </w:tcPr>
          <w:p w14:paraId="0B86B16D" w14:textId="77777777" w:rsidR="00AA7E93" w:rsidRDefault="00AA7E93">
            <w:pPr>
              <w:ind w:right="-23"/>
              <w:rPr>
                <w:rFonts w:cs="Arial"/>
                <w:lang w:eastAsia="en-US"/>
              </w:rPr>
            </w:pPr>
          </w:p>
        </w:tc>
      </w:tr>
    </w:tbl>
    <w:p w14:paraId="4EE479A5" w14:textId="77777777" w:rsidR="00AA7E93" w:rsidRDefault="00AA7E93" w:rsidP="00AA7E93">
      <w:pPr>
        <w:ind w:right="-23"/>
        <w:rPr>
          <w:sz w:val="20"/>
          <w:lang w:val="en-GB"/>
        </w:rPr>
      </w:pPr>
    </w:p>
    <w:p w14:paraId="105B9D17" w14:textId="77777777" w:rsidR="00270212" w:rsidRDefault="00270212" w:rsidP="00AA7E93">
      <w:pPr>
        <w:ind w:right="-23"/>
        <w:rPr>
          <w:lang w:val="en-GB"/>
        </w:rPr>
        <w:sectPr w:rsidR="00270212" w:rsidSect="00B21803">
          <w:pgSz w:w="16838" w:h="11906" w:orient="landscape" w:code="9"/>
          <w:pgMar w:top="851" w:right="1134" w:bottom="1134" w:left="1440" w:header="709" w:footer="119" w:gutter="0"/>
          <w:cols w:space="720"/>
        </w:sectPr>
      </w:pPr>
    </w:p>
    <w:p w14:paraId="45DD5A28" w14:textId="37B981D3" w:rsidR="00AA7E93" w:rsidRDefault="00AA7E93" w:rsidP="00C42A28">
      <w:pPr>
        <w:pStyle w:val="Caption"/>
      </w:pPr>
      <w:r>
        <w:lastRenderedPageBreak/>
        <w:t>Channels for single frequency area wide assignments</w:t>
      </w:r>
      <w:r w:rsidR="00411A85">
        <w:br/>
      </w:r>
    </w:p>
    <w:tbl>
      <w:tblPr>
        <w:tblW w:w="9942" w:type="dxa"/>
        <w:tblInd w:w="-4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3314"/>
        <w:gridCol w:w="3314"/>
        <w:gridCol w:w="3314"/>
      </w:tblGrid>
      <w:tr w:rsidR="00AA7E93" w14:paraId="1EA05636" w14:textId="77777777" w:rsidTr="00270212">
        <w:trPr>
          <w:trHeight w:val="320"/>
        </w:trPr>
        <w:tc>
          <w:tcPr>
            <w:tcW w:w="3314" w:type="dxa"/>
            <w:tcBorders>
              <w:top w:val="single" w:sz="8"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27D9E05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Segment/Channel number</w:t>
            </w:r>
          </w:p>
        </w:tc>
        <w:tc>
          <w:tcPr>
            <w:tcW w:w="3314" w:type="dxa"/>
            <w:tcBorders>
              <w:top w:val="single" w:sz="8"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80A021" w14:textId="04082363"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 xml:space="preserve">12.5 </w:t>
            </w:r>
            <w:r w:rsidR="00E05B94">
              <w:rPr>
                <w:rFonts w:cs="Arial"/>
                <w:szCs w:val="20"/>
                <w:lang w:val="en-GB" w:eastAsia="en-US"/>
              </w:rPr>
              <w:t>k</w:t>
            </w:r>
            <w:r>
              <w:rPr>
                <w:rFonts w:cs="Arial"/>
                <w:szCs w:val="20"/>
                <w:lang w:val="en-GB" w:eastAsia="en-US"/>
              </w:rPr>
              <w:t>Hz B/W Centre frequency</w:t>
            </w:r>
          </w:p>
        </w:tc>
        <w:tc>
          <w:tcPr>
            <w:tcW w:w="3314" w:type="dxa"/>
            <w:tcBorders>
              <w:top w:val="single" w:sz="8"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1D8BFE1D" w14:textId="537B430D" w:rsidR="00AA7E93" w:rsidRDefault="00AA7E93">
            <w:pPr>
              <w:ind w:right="-23"/>
              <w:jc w:val="center"/>
              <w:rPr>
                <w:rFonts w:cs="Arial"/>
                <w:szCs w:val="20"/>
                <w:lang w:val="en-GB" w:eastAsia="en-US"/>
              </w:rPr>
            </w:pPr>
            <w:r>
              <w:rPr>
                <w:rFonts w:cs="Arial"/>
                <w:szCs w:val="20"/>
                <w:lang w:val="en-GB" w:eastAsia="en-US"/>
              </w:rPr>
              <w:t xml:space="preserve">25 </w:t>
            </w:r>
            <w:r w:rsidR="00E05B94">
              <w:rPr>
                <w:rFonts w:cs="Arial"/>
                <w:szCs w:val="20"/>
                <w:lang w:val="en-GB" w:eastAsia="en-US"/>
              </w:rPr>
              <w:t>k</w:t>
            </w:r>
            <w:r>
              <w:rPr>
                <w:rFonts w:cs="Arial"/>
                <w:szCs w:val="20"/>
                <w:lang w:val="en-GB" w:eastAsia="en-US"/>
              </w:rPr>
              <w:t>Hz B/W Centre Frequency</w:t>
            </w:r>
          </w:p>
        </w:tc>
      </w:tr>
      <w:tr w:rsidR="00AA7E93" w14:paraId="4B6AB88B"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0818078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G Ch13</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E5521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410.7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vAlign w:val="center"/>
          </w:tcPr>
          <w:p w14:paraId="1F4594D0" w14:textId="3F25B907" w:rsidR="00AA7E93" w:rsidRDefault="00AA7E93" w:rsidP="00064CAA">
            <w:pPr>
              <w:ind w:right="-23"/>
              <w:jc w:val="center"/>
              <w:rPr>
                <w:rFonts w:cs="Arial"/>
                <w:szCs w:val="20"/>
                <w:lang w:val="en-GB" w:eastAsia="en-US"/>
              </w:rPr>
            </w:pPr>
            <w:r>
              <w:rPr>
                <w:rFonts w:cs="Arial"/>
                <w:szCs w:val="20"/>
                <w:lang w:val="en-GB" w:eastAsia="en-US"/>
              </w:rPr>
              <w:t>410.70625 MHz</w:t>
            </w:r>
          </w:p>
        </w:tc>
      </w:tr>
      <w:tr w:rsidR="00AA7E93" w14:paraId="5E8DE2C3" w14:textId="77777777" w:rsidTr="00064CAA">
        <w:trPr>
          <w:trHeight w:val="387"/>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vAlign w:val="center"/>
            <w:hideMark/>
          </w:tcPr>
          <w:p w14:paraId="5836833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G Ch14</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E53A85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410.7125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2A6E24FE" w14:textId="77777777" w:rsidR="00AA7E93" w:rsidRDefault="00AA7E93">
            <w:pPr>
              <w:spacing w:line="276" w:lineRule="auto"/>
              <w:rPr>
                <w:rFonts w:cs="Arial"/>
                <w:szCs w:val="20"/>
                <w:lang w:val="en-GB" w:eastAsia="en-US"/>
              </w:rPr>
            </w:pPr>
          </w:p>
        </w:tc>
      </w:tr>
      <w:tr w:rsidR="00AA7E93" w14:paraId="0A4B5DB2"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04413F6A"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P Ch7</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2A808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450.1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37928028" w14:textId="77777777" w:rsidR="00AA7E93" w:rsidRDefault="00AA7E93">
            <w:pPr>
              <w:ind w:right="-23"/>
              <w:jc w:val="center"/>
              <w:rPr>
                <w:rFonts w:cs="Arial"/>
                <w:szCs w:val="20"/>
                <w:lang w:val="en-GB" w:eastAsia="en-US"/>
              </w:rPr>
            </w:pPr>
            <w:r>
              <w:rPr>
                <w:rFonts w:cs="Arial"/>
                <w:szCs w:val="20"/>
                <w:lang w:val="en-GB" w:eastAsia="en-US"/>
              </w:rPr>
              <w:t>450.10625 MHz</w:t>
            </w:r>
          </w:p>
        </w:tc>
      </w:tr>
      <w:tr w:rsidR="00AA7E93" w14:paraId="52616874"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08561D01"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P Ch8</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AA370B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450.1125MHz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1B276BDB" w14:textId="77777777" w:rsidR="00AA7E93" w:rsidRDefault="00AA7E93">
            <w:pPr>
              <w:spacing w:line="276" w:lineRule="auto"/>
              <w:rPr>
                <w:rFonts w:cs="Arial"/>
                <w:szCs w:val="20"/>
                <w:lang w:val="en-GB" w:eastAsia="en-US"/>
              </w:rPr>
            </w:pPr>
          </w:p>
        </w:tc>
      </w:tr>
      <w:tr w:rsidR="00AA7E93" w14:paraId="75C83BD0"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7DF1174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W Ch9</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18247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462.1125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2A3CB3BE" w14:textId="77777777" w:rsidR="00AA7E93" w:rsidRDefault="00AA7E93">
            <w:pPr>
              <w:ind w:right="-23"/>
              <w:jc w:val="center"/>
              <w:rPr>
                <w:rFonts w:cs="Arial"/>
                <w:szCs w:val="20"/>
                <w:lang w:val="en-GB" w:eastAsia="en-US"/>
              </w:rPr>
            </w:pPr>
            <w:r>
              <w:rPr>
                <w:rFonts w:cs="Arial"/>
                <w:szCs w:val="20"/>
                <w:lang w:val="en-GB" w:eastAsia="en-US"/>
              </w:rPr>
              <w:t>462.11875 MHz</w:t>
            </w:r>
          </w:p>
        </w:tc>
      </w:tr>
      <w:tr w:rsidR="00AA7E93" w14:paraId="5382A60C"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1DAB98D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W Ch10</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2665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462.125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6BEBE37A" w14:textId="77777777" w:rsidR="00AA7E93" w:rsidRDefault="00AA7E93">
            <w:pPr>
              <w:spacing w:line="276" w:lineRule="auto"/>
              <w:rPr>
                <w:rFonts w:cs="Arial"/>
                <w:szCs w:val="20"/>
                <w:lang w:val="en-GB" w:eastAsia="en-US"/>
              </w:rPr>
            </w:pPr>
          </w:p>
        </w:tc>
      </w:tr>
      <w:tr w:rsidR="00AA7E93" w14:paraId="628FDBEA"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5628F565"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AA Ch33</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5B1820"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471.625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4DB98E2B" w14:textId="77777777" w:rsidR="00AA7E93" w:rsidRDefault="00AA7E93">
            <w:pPr>
              <w:ind w:right="-23"/>
              <w:jc w:val="center"/>
              <w:rPr>
                <w:rFonts w:cs="Arial"/>
                <w:szCs w:val="20"/>
                <w:lang w:val="en-GB" w:eastAsia="en-US"/>
              </w:rPr>
            </w:pPr>
            <w:r>
              <w:rPr>
                <w:rFonts w:cs="Arial"/>
                <w:szCs w:val="20"/>
                <w:lang w:val="en-GB" w:eastAsia="en-US"/>
              </w:rPr>
              <w:t>471.63125 MHz</w:t>
            </w:r>
          </w:p>
        </w:tc>
      </w:tr>
      <w:tr w:rsidR="00AA7E93" w14:paraId="0AC398BB"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43F4871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AA Ch34</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F0149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471.6375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1353A3E7" w14:textId="77777777" w:rsidR="00AA7E93" w:rsidRDefault="00AA7E93">
            <w:pPr>
              <w:spacing w:line="276" w:lineRule="auto"/>
              <w:rPr>
                <w:rFonts w:cs="Arial"/>
                <w:szCs w:val="20"/>
                <w:lang w:val="en-GB" w:eastAsia="en-US"/>
              </w:rPr>
            </w:pPr>
          </w:p>
        </w:tc>
      </w:tr>
      <w:tr w:rsidR="00AA7E93" w14:paraId="71EEB298"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0CC7002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AA Ch55</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5E615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471.9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44C919C7" w14:textId="77777777" w:rsidR="00AA7E93" w:rsidRDefault="00AA7E93">
            <w:pPr>
              <w:ind w:right="-23"/>
              <w:jc w:val="center"/>
              <w:rPr>
                <w:rFonts w:cs="Arial"/>
                <w:szCs w:val="20"/>
                <w:lang w:val="en-GB" w:eastAsia="en-US"/>
              </w:rPr>
            </w:pPr>
            <w:r>
              <w:rPr>
                <w:rFonts w:cs="Arial"/>
                <w:szCs w:val="20"/>
                <w:lang w:val="en-GB" w:eastAsia="en-US"/>
              </w:rPr>
              <w:t>471.90625 MHz</w:t>
            </w:r>
          </w:p>
        </w:tc>
      </w:tr>
      <w:tr w:rsidR="00AA7E93" w14:paraId="135453BF"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6D46601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AA Ch56</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E20BC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471.9125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5DEACA00" w14:textId="77777777" w:rsidR="00AA7E93" w:rsidRDefault="00AA7E93">
            <w:pPr>
              <w:spacing w:line="276" w:lineRule="auto"/>
              <w:rPr>
                <w:rFonts w:cs="Arial"/>
                <w:szCs w:val="20"/>
                <w:lang w:val="en-GB" w:eastAsia="en-US"/>
              </w:rPr>
            </w:pPr>
          </w:p>
        </w:tc>
      </w:tr>
      <w:tr w:rsidR="00AA7E93" w14:paraId="1CF90903"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251D6F8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CC Ch21</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4C36C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475.05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07DF4F7C" w14:textId="77777777" w:rsidR="00AA7E93" w:rsidRDefault="00AA7E93">
            <w:pPr>
              <w:ind w:right="-23"/>
              <w:jc w:val="center"/>
              <w:rPr>
                <w:rFonts w:cs="Arial"/>
                <w:szCs w:val="20"/>
                <w:lang w:val="en-GB" w:eastAsia="en-US"/>
              </w:rPr>
            </w:pPr>
            <w:r>
              <w:rPr>
                <w:rFonts w:cs="Arial"/>
                <w:szCs w:val="20"/>
                <w:lang w:val="en-GB" w:eastAsia="en-US"/>
              </w:rPr>
              <w:t>475.05625 MHz</w:t>
            </w:r>
          </w:p>
        </w:tc>
      </w:tr>
      <w:tr w:rsidR="00AA7E93" w14:paraId="61A3FF84"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18DB7E1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CC Ch22</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7806B68"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475.0625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54A539B7" w14:textId="77777777" w:rsidR="00AA7E93" w:rsidRDefault="00AA7E93">
            <w:pPr>
              <w:spacing w:line="276" w:lineRule="auto"/>
              <w:rPr>
                <w:rFonts w:cs="Arial"/>
                <w:szCs w:val="20"/>
                <w:lang w:val="en-GB" w:eastAsia="en-US"/>
              </w:rPr>
            </w:pPr>
          </w:p>
        </w:tc>
      </w:tr>
      <w:tr w:rsidR="00AA7E93" w14:paraId="07C4772E"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6B8E433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HH Ch25</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B59422"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485.1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1000BFA3" w14:textId="77777777" w:rsidR="00AA7E93" w:rsidRDefault="00AA7E93">
            <w:pPr>
              <w:ind w:right="-23"/>
              <w:jc w:val="center"/>
              <w:rPr>
                <w:rFonts w:cs="Arial"/>
                <w:szCs w:val="20"/>
                <w:lang w:val="en-GB" w:eastAsia="en-US"/>
              </w:rPr>
            </w:pPr>
            <w:r>
              <w:rPr>
                <w:rFonts w:cs="Arial"/>
                <w:szCs w:val="20"/>
                <w:lang w:val="en-GB" w:eastAsia="en-US"/>
              </w:rPr>
              <w:t>485.10625 MHz</w:t>
            </w:r>
          </w:p>
        </w:tc>
      </w:tr>
      <w:tr w:rsidR="00AA7E93" w14:paraId="1C738A95"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171CE493"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HH Ch26</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798C1B"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485.1125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3400C432" w14:textId="77777777" w:rsidR="00AA7E93" w:rsidRDefault="00AA7E93">
            <w:pPr>
              <w:spacing w:line="276" w:lineRule="auto"/>
              <w:rPr>
                <w:rFonts w:cs="Arial"/>
                <w:szCs w:val="20"/>
                <w:lang w:val="en-GB" w:eastAsia="en-US"/>
              </w:rPr>
            </w:pPr>
          </w:p>
        </w:tc>
      </w:tr>
      <w:tr w:rsidR="00AA7E93" w14:paraId="72AE0680"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1798367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KK Ch17</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6F5ABD"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495.00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5BF8CBC4" w14:textId="77777777" w:rsidR="00AA7E93" w:rsidRDefault="00AA7E93">
            <w:pPr>
              <w:ind w:right="-23"/>
              <w:jc w:val="center"/>
              <w:rPr>
                <w:rFonts w:cs="Arial"/>
                <w:szCs w:val="20"/>
                <w:lang w:val="en-GB" w:eastAsia="en-US"/>
              </w:rPr>
            </w:pPr>
            <w:r>
              <w:rPr>
                <w:rFonts w:cs="Arial"/>
                <w:szCs w:val="20"/>
                <w:lang w:val="en-GB" w:eastAsia="en-US"/>
              </w:rPr>
              <w:t>495.00625 MHz</w:t>
            </w:r>
          </w:p>
        </w:tc>
      </w:tr>
      <w:tr w:rsidR="00AA7E93" w14:paraId="3B9104C9"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193C56B6"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KK Ch18</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D7417C"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495.0125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6EF802D1" w14:textId="77777777" w:rsidR="00AA7E93" w:rsidRDefault="00AA7E93">
            <w:pPr>
              <w:spacing w:line="276" w:lineRule="auto"/>
              <w:rPr>
                <w:rFonts w:cs="Arial"/>
                <w:szCs w:val="20"/>
                <w:lang w:val="en-GB" w:eastAsia="en-US"/>
              </w:rPr>
            </w:pPr>
          </w:p>
        </w:tc>
      </w:tr>
      <w:tr w:rsidR="00AA7E93" w14:paraId="43FA5AAE"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45716C69"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QQ Ch27</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58C65F"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509.875 MHz</w:t>
            </w:r>
          </w:p>
        </w:tc>
        <w:tc>
          <w:tcPr>
            <w:tcW w:w="3314" w:type="dxa"/>
            <w:vMerge w:val="restart"/>
            <w:tcBorders>
              <w:top w:val="single" w:sz="6" w:space="0" w:color="000000"/>
              <w:left w:val="single" w:sz="6" w:space="0" w:color="000000"/>
              <w:bottom w:val="single" w:sz="6" w:space="0" w:color="000000"/>
              <w:right w:val="single" w:sz="8" w:space="0" w:color="000000"/>
            </w:tcBorders>
            <w:tcMar>
              <w:top w:w="0" w:type="dxa"/>
              <w:left w:w="108" w:type="dxa"/>
              <w:bottom w:w="0" w:type="dxa"/>
              <w:right w:w="108" w:type="dxa"/>
            </w:tcMar>
            <w:hideMark/>
          </w:tcPr>
          <w:p w14:paraId="07BEF645" w14:textId="77777777" w:rsidR="00AA7E93" w:rsidRDefault="00AA7E93">
            <w:pPr>
              <w:ind w:right="-23"/>
              <w:jc w:val="center"/>
              <w:rPr>
                <w:rFonts w:cs="Arial"/>
                <w:szCs w:val="20"/>
                <w:lang w:val="en-GB" w:eastAsia="en-US"/>
              </w:rPr>
            </w:pPr>
            <w:r>
              <w:rPr>
                <w:rFonts w:cs="Arial"/>
                <w:szCs w:val="20"/>
                <w:lang w:val="en-GB" w:eastAsia="en-US"/>
              </w:rPr>
              <w:t>509.88125 MHz</w:t>
            </w:r>
          </w:p>
        </w:tc>
      </w:tr>
      <w:tr w:rsidR="00AA7E93" w14:paraId="7477F1E9" w14:textId="77777777" w:rsidTr="00270212">
        <w:trPr>
          <w:trHeight w:val="320"/>
        </w:trPr>
        <w:tc>
          <w:tcPr>
            <w:tcW w:w="3314" w:type="dxa"/>
            <w:tcBorders>
              <w:top w:val="single" w:sz="6" w:space="0" w:color="000000"/>
              <w:left w:val="single" w:sz="8" w:space="0" w:color="000000"/>
              <w:bottom w:val="single" w:sz="6" w:space="0" w:color="000000"/>
              <w:right w:val="single" w:sz="6" w:space="0" w:color="000000"/>
            </w:tcBorders>
            <w:tcMar>
              <w:top w:w="0" w:type="dxa"/>
              <w:left w:w="108" w:type="dxa"/>
              <w:bottom w:w="0" w:type="dxa"/>
              <w:right w:w="108" w:type="dxa"/>
            </w:tcMar>
            <w:hideMark/>
          </w:tcPr>
          <w:p w14:paraId="7675A617"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Segment QQ Ch28</w:t>
            </w:r>
          </w:p>
        </w:tc>
        <w:tc>
          <w:tcPr>
            <w:tcW w:w="331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71BB3E" w14:textId="77777777" w:rsidR="00AA7E93" w:rsidRDefault="00AA7E93">
            <w:pPr>
              <w:widowControl w:val="0"/>
              <w:spacing w:before="40" w:after="120" w:line="240" w:lineRule="auto"/>
              <w:ind w:right="-23"/>
              <w:jc w:val="center"/>
              <w:rPr>
                <w:rFonts w:cs="Arial"/>
                <w:szCs w:val="20"/>
                <w:lang w:val="en-GB" w:eastAsia="en-US"/>
              </w:rPr>
            </w:pPr>
            <w:r>
              <w:rPr>
                <w:rFonts w:cs="Arial"/>
                <w:szCs w:val="20"/>
                <w:lang w:val="en-GB" w:eastAsia="en-US"/>
              </w:rPr>
              <w:t>509.8875 MHz</w:t>
            </w:r>
          </w:p>
        </w:tc>
        <w:tc>
          <w:tcPr>
            <w:tcW w:w="0" w:type="auto"/>
            <w:vMerge/>
            <w:tcBorders>
              <w:top w:val="single" w:sz="6" w:space="0" w:color="000000"/>
              <w:left w:val="single" w:sz="6" w:space="0" w:color="000000"/>
              <w:bottom w:val="single" w:sz="6" w:space="0" w:color="000000"/>
              <w:right w:val="single" w:sz="8" w:space="0" w:color="000000"/>
            </w:tcBorders>
            <w:vAlign w:val="center"/>
            <w:hideMark/>
          </w:tcPr>
          <w:p w14:paraId="1828E8CE" w14:textId="77777777" w:rsidR="00AA7E93" w:rsidRDefault="00AA7E93">
            <w:pPr>
              <w:spacing w:line="276" w:lineRule="auto"/>
              <w:rPr>
                <w:rFonts w:cs="Arial"/>
                <w:szCs w:val="20"/>
                <w:lang w:val="en-GB" w:eastAsia="en-US"/>
              </w:rPr>
            </w:pPr>
          </w:p>
        </w:tc>
      </w:tr>
    </w:tbl>
    <w:p w14:paraId="1F0FFCA2" w14:textId="77777777" w:rsidR="00270212" w:rsidRDefault="00270212">
      <w:r>
        <w:br w:type="page"/>
      </w:r>
      <w:bookmarkStart w:id="29" w:name="_GoBack"/>
      <w:bookmarkEnd w:id="29"/>
    </w:p>
    <w:tbl>
      <w:tblPr>
        <w:tblW w:w="14129" w:type="dxa"/>
        <w:tblInd w:w="8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14129"/>
      </w:tblGrid>
      <w:tr w:rsidR="00AA7E93" w14:paraId="4CF0316E" w14:textId="77777777" w:rsidTr="00270212">
        <w:trPr>
          <w:trHeight w:val="469"/>
        </w:trPr>
        <w:tc>
          <w:tcPr>
            <w:tcW w:w="14129" w:type="dxa"/>
            <w:tcBorders>
              <w:top w:val="nil"/>
              <w:left w:val="nil"/>
              <w:bottom w:val="nil"/>
              <w:right w:val="nil"/>
            </w:tcBorders>
            <w:vAlign w:val="center"/>
          </w:tcPr>
          <w:p w14:paraId="77332522" w14:textId="62B63E09" w:rsidR="00AA7E93" w:rsidRDefault="00AA7E93" w:rsidP="00C42A28">
            <w:pPr>
              <w:pStyle w:val="Caption"/>
              <w:keepNext/>
              <w:keepLines/>
              <w:pageBreakBefore/>
              <w:rPr>
                <w:lang w:eastAsia="en-US"/>
              </w:rPr>
            </w:pPr>
            <w:r>
              <w:lastRenderedPageBreak/>
              <w:br w:type="page"/>
            </w:r>
            <w:r>
              <w:rPr>
                <w:lang w:eastAsia="en-US"/>
              </w:rPr>
              <w:t>Channels for two frequency area wide assignments</w:t>
            </w:r>
          </w:p>
          <w:p w14:paraId="002474E1" w14:textId="77777777" w:rsidR="00AA7E93" w:rsidRDefault="00AA7E93" w:rsidP="00270212">
            <w:pPr>
              <w:keepNext/>
              <w:keepLines/>
              <w:ind w:right="-23"/>
              <w:rPr>
                <w:rFonts w:cs="Arial"/>
                <w:b/>
                <w:bCs/>
                <w:color w:val="808285"/>
                <w:szCs w:val="20"/>
                <w:lang w:eastAsia="en-US"/>
              </w:rPr>
            </w:pPr>
          </w:p>
          <w:tbl>
            <w:tblPr>
              <w:tblW w:w="9942" w:type="dxa"/>
              <w:tblCellMar>
                <w:left w:w="0" w:type="dxa"/>
                <w:right w:w="0" w:type="dxa"/>
              </w:tblCellMar>
              <w:tblLook w:val="04A0" w:firstRow="1" w:lastRow="0" w:firstColumn="1" w:lastColumn="0" w:noHBand="0" w:noVBand="1"/>
            </w:tblPr>
            <w:tblGrid>
              <w:gridCol w:w="3314"/>
              <w:gridCol w:w="3314"/>
              <w:gridCol w:w="3314"/>
            </w:tblGrid>
            <w:tr w:rsidR="00AA7E93" w14:paraId="1A4C0B36" w14:textId="77777777">
              <w:trPr>
                <w:trHeight w:val="308"/>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1A48208"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Paired Segments/Channel number</w:t>
                  </w:r>
                </w:p>
              </w:tc>
              <w:tc>
                <w:tcPr>
                  <w:tcW w:w="331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F1D196A" w14:textId="2EA82D10"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 xml:space="preserve">12.5 </w:t>
                  </w:r>
                  <w:r w:rsidR="00E05B94">
                    <w:rPr>
                      <w:rFonts w:cs="Arial"/>
                      <w:sz w:val="18"/>
                      <w:szCs w:val="20"/>
                      <w:lang w:val="en-GB" w:eastAsia="en-US"/>
                    </w:rPr>
                    <w:t>k</w:t>
                  </w:r>
                  <w:r>
                    <w:rPr>
                      <w:rFonts w:cs="Arial"/>
                      <w:sz w:val="18"/>
                      <w:szCs w:val="20"/>
                      <w:lang w:val="en-GB" w:eastAsia="en-US"/>
                    </w:rPr>
                    <w:t>Hz B/W frequency pair</w:t>
                  </w:r>
                </w:p>
              </w:tc>
              <w:tc>
                <w:tcPr>
                  <w:tcW w:w="331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4A64DBAB" w14:textId="0CE1834C"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 xml:space="preserve">25 </w:t>
                  </w:r>
                  <w:r w:rsidR="00E05B94">
                    <w:rPr>
                      <w:rFonts w:cs="Arial"/>
                      <w:sz w:val="18"/>
                      <w:szCs w:val="20"/>
                      <w:lang w:val="en-GB" w:eastAsia="en-US"/>
                    </w:rPr>
                    <w:t>k</w:t>
                  </w:r>
                  <w:r>
                    <w:rPr>
                      <w:rFonts w:cs="Arial"/>
                      <w:sz w:val="18"/>
                      <w:szCs w:val="20"/>
                      <w:lang w:val="en-GB" w:eastAsia="en-US"/>
                    </w:rPr>
                    <w:t>Hz B/W frequency pair</w:t>
                  </w:r>
                </w:p>
              </w:tc>
            </w:tr>
            <w:tr w:rsidR="00AA7E93" w14:paraId="209EB67A"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56D328"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X/S ch 273</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07EF9CBF"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465.9125/455.9125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0E5CFE91"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465.91875/455.91875 MHz</w:t>
                  </w:r>
                </w:p>
              </w:tc>
            </w:tr>
            <w:tr w:rsidR="00AA7E93" w14:paraId="2A3B27FA" w14:textId="77777777">
              <w:trPr>
                <w:trHeight w:val="296"/>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3CB29D6"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X/S ch 274</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24109D1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465.925/455.925 MHz</w:t>
                  </w:r>
                </w:p>
              </w:tc>
              <w:tc>
                <w:tcPr>
                  <w:tcW w:w="0" w:type="auto"/>
                  <w:vMerge/>
                  <w:tcBorders>
                    <w:top w:val="nil"/>
                    <w:left w:val="nil"/>
                    <w:bottom w:val="single" w:sz="8" w:space="0" w:color="000000"/>
                    <w:right w:val="single" w:sz="8" w:space="0" w:color="000000"/>
                  </w:tcBorders>
                  <w:vAlign w:val="center"/>
                  <w:hideMark/>
                </w:tcPr>
                <w:p w14:paraId="2C67EEA6" w14:textId="77777777" w:rsidR="00AA7E93" w:rsidRDefault="00AA7E93" w:rsidP="00270212">
                  <w:pPr>
                    <w:keepNext/>
                    <w:keepLines/>
                    <w:spacing w:line="276" w:lineRule="auto"/>
                    <w:rPr>
                      <w:rFonts w:cs="Arial"/>
                      <w:sz w:val="18"/>
                      <w:szCs w:val="20"/>
                      <w:lang w:val="en-GB" w:eastAsia="en-US"/>
                    </w:rPr>
                  </w:pPr>
                </w:p>
              </w:tc>
            </w:tr>
            <w:tr w:rsidR="00AA7E93" w14:paraId="27A9CCB0"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A797B36"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Z/DD ch 81</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617894D7"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471.00/476.2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69F2EE38"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471.00625/476.20625 MHz</w:t>
                  </w:r>
                </w:p>
              </w:tc>
            </w:tr>
            <w:tr w:rsidR="00AA7E93" w14:paraId="46326BCE"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81E3675"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Z/DD ch 82</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7A1BFB05"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471.0125/476.2125 MHz</w:t>
                  </w:r>
                </w:p>
              </w:tc>
              <w:tc>
                <w:tcPr>
                  <w:tcW w:w="0" w:type="auto"/>
                  <w:vMerge/>
                  <w:tcBorders>
                    <w:top w:val="nil"/>
                    <w:left w:val="nil"/>
                    <w:bottom w:val="single" w:sz="8" w:space="0" w:color="000000"/>
                    <w:right w:val="single" w:sz="8" w:space="0" w:color="000000"/>
                  </w:tcBorders>
                  <w:vAlign w:val="center"/>
                  <w:hideMark/>
                </w:tcPr>
                <w:p w14:paraId="1E79EAD3" w14:textId="77777777" w:rsidR="00AA7E93" w:rsidRDefault="00AA7E93" w:rsidP="00270212">
                  <w:pPr>
                    <w:keepNext/>
                    <w:keepLines/>
                    <w:spacing w:line="276" w:lineRule="auto"/>
                    <w:rPr>
                      <w:rFonts w:cs="Arial"/>
                      <w:sz w:val="18"/>
                      <w:szCs w:val="20"/>
                      <w:lang w:val="en-GB" w:eastAsia="en-US"/>
                    </w:rPr>
                  </w:pPr>
                </w:p>
              </w:tc>
            </w:tr>
            <w:tr w:rsidR="00AA7E93" w14:paraId="0A6E1D3F"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5E9EC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BB/FF ch 165</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23FEAD3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474.275/479.475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7C48A851"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474.28125/479.48125 MHz</w:t>
                  </w:r>
                </w:p>
              </w:tc>
            </w:tr>
            <w:tr w:rsidR="00AA7E93" w14:paraId="5F1E7D7E"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D64AA11"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BB/FF ch 166</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59DD2025"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474.2875/479.4875 MHz</w:t>
                  </w:r>
                </w:p>
              </w:tc>
              <w:tc>
                <w:tcPr>
                  <w:tcW w:w="0" w:type="auto"/>
                  <w:vMerge/>
                  <w:tcBorders>
                    <w:top w:val="nil"/>
                    <w:left w:val="nil"/>
                    <w:bottom w:val="single" w:sz="8" w:space="0" w:color="000000"/>
                    <w:right w:val="single" w:sz="8" w:space="0" w:color="000000"/>
                  </w:tcBorders>
                  <w:vAlign w:val="center"/>
                  <w:hideMark/>
                </w:tcPr>
                <w:p w14:paraId="132720B5" w14:textId="77777777" w:rsidR="00AA7E93" w:rsidRDefault="00AA7E93" w:rsidP="00270212">
                  <w:pPr>
                    <w:keepNext/>
                    <w:keepLines/>
                    <w:spacing w:line="276" w:lineRule="auto"/>
                    <w:rPr>
                      <w:rFonts w:cs="Arial"/>
                      <w:sz w:val="18"/>
                      <w:szCs w:val="20"/>
                      <w:lang w:val="en-GB" w:eastAsia="en-US"/>
                    </w:rPr>
                  </w:pPr>
                </w:p>
              </w:tc>
            </w:tr>
            <w:tr w:rsidR="00AA7E93" w14:paraId="2180606C" w14:textId="77777777">
              <w:trPr>
                <w:trHeight w:val="296"/>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FC13E64"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II/GG ch 95</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23834039"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486.375/481.175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7D437F87"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486.38125/481.18125 MHz</w:t>
                  </w:r>
                </w:p>
              </w:tc>
            </w:tr>
            <w:tr w:rsidR="00AA7E93" w14:paraId="2FA4FEE9"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4FFC4CF"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II/GG ch 96</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732E0E2A"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486.3875/481.1875 MHz</w:t>
                  </w:r>
                </w:p>
              </w:tc>
              <w:tc>
                <w:tcPr>
                  <w:tcW w:w="0" w:type="auto"/>
                  <w:vMerge/>
                  <w:tcBorders>
                    <w:top w:val="nil"/>
                    <w:left w:val="nil"/>
                    <w:bottom w:val="single" w:sz="8" w:space="0" w:color="000000"/>
                    <w:right w:val="single" w:sz="8" w:space="0" w:color="000000"/>
                  </w:tcBorders>
                  <w:vAlign w:val="center"/>
                  <w:hideMark/>
                </w:tcPr>
                <w:p w14:paraId="48E260B6" w14:textId="77777777" w:rsidR="00AA7E93" w:rsidRDefault="00AA7E93" w:rsidP="00270212">
                  <w:pPr>
                    <w:keepNext/>
                    <w:keepLines/>
                    <w:spacing w:line="276" w:lineRule="auto"/>
                    <w:rPr>
                      <w:rFonts w:cs="Arial"/>
                      <w:sz w:val="18"/>
                      <w:szCs w:val="20"/>
                      <w:lang w:val="en-GB" w:eastAsia="en-US"/>
                    </w:rPr>
                  </w:pPr>
                </w:p>
              </w:tc>
            </w:tr>
            <w:tr w:rsidR="00AA7E93" w14:paraId="7D59118C"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7D3ED7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JJ/LL ch 191</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484A9AC5"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492.375/497.575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7120408B"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492.38125/497.58125 MHz</w:t>
                  </w:r>
                </w:p>
              </w:tc>
            </w:tr>
            <w:tr w:rsidR="00AA7E93" w14:paraId="60719E6E"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D032E34"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JJ/LL ch 192</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5E1074F4"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492.3875/497.5875 MHz</w:t>
                  </w:r>
                </w:p>
              </w:tc>
              <w:tc>
                <w:tcPr>
                  <w:tcW w:w="0" w:type="auto"/>
                  <w:vMerge/>
                  <w:tcBorders>
                    <w:top w:val="nil"/>
                    <w:left w:val="nil"/>
                    <w:bottom w:val="single" w:sz="8" w:space="0" w:color="000000"/>
                    <w:right w:val="single" w:sz="8" w:space="0" w:color="000000"/>
                  </w:tcBorders>
                  <w:vAlign w:val="center"/>
                  <w:hideMark/>
                </w:tcPr>
                <w:p w14:paraId="38639C58" w14:textId="77777777" w:rsidR="00AA7E93" w:rsidRDefault="00AA7E93" w:rsidP="00270212">
                  <w:pPr>
                    <w:keepNext/>
                    <w:keepLines/>
                    <w:spacing w:line="276" w:lineRule="auto"/>
                    <w:rPr>
                      <w:rFonts w:cs="Arial"/>
                      <w:sz w:val="18"/>
                      <w:szCs w:val="20"/>
                      <w:lang w:val="en-GB" w:eastAsia="en-US"/>
                    </w:rPr>
                  </w:pPr>
                </w:p>
              </w:tc>
            </w:tr>
            <w:tr w:rsidR="00AA7E93" w14:paraId="12A9A193"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1D7C03A"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OO/TT ch 95</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4CF61184"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506.175/516.175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170AC163"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506.18125/516.18125 MHz</w:t>
                  </w:r>
                </w:p>
              </w:tc>
            </w:tr>
            <w:tr w:rsidR="00AA7E93" w14:paraId="0E95F8F8" w14:textId="77777777">
              <w:trPr>
                <w:trHeight w:val="296"/>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0A83722"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OO/TT ch 96</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2057C5B5"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506.1875/516.1875 MHz</w:t>
                  </w:r>
                </w:p>
              </w:tc>
              <w:tc>
                <w:tcPr>
                  <w:tcW w:w="0" w:type="auto"/>
                  <w:vMerge/>
                  <w:tcBorders>
                    <w:top w:val="nil"/>
                    <w:left w:val="nil"/>
                    <w:bottom w:val="single" w:sz="8" w:space="0" w:color="000000"/>
                    <w:right w:val="single" w:sz="8" w:space="0" w:color="000000"/>
                  </w:tcBorders>
                  <w:vAlign w:val="center"/>
                  <w:hideMark/>
                </w:tcPr>
                <w:p w14:paraId="624866A0" w14:textId="77777777" w:rsidR="00AA7E93" w:rsidRDefault="00AA7E93" w:rsidP="00270212">
                  <w:pPr>
                    <w:keepNext/>
                    <w:keepLines/>
                    <w:spacing w:line="276" w:lineRule="auto"/>
                    <w:rPr>
                      <w:rFonts w:cs="Arial"/>
                      <w:sz w:val="18"/>
                      <w:szCs w:val="20"/>
                      <w:lang w:val="en-GB" w:eastAsia="en-US"/>
                    </w:rPr>
                  </w:pPr>
                </w:p>
              </w:tc>
            </w:tr>
            <w:tr w:rsidR="00AA7E93" w14:paraId="2BDE70A2"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A7D0AB3"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PP/UU ch 61</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1A104F3E"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507.775/517.775 MHz</w:t>
                  </w:r>
                </w:p>
              </w:tc>
              <w:tc>
                <w:tcPr>
                  <w:tcW w:w="3314" w:type="dxa"/>
                  <w:vMerge w:val="restart"/>
                  <w:tcBorders>
                    <w:top w:val="nil"/>
                    <w:left w:val="nil"/>
                    <w:bottom w:val="single" w:sz="8" w:space="0" w:color="000000"/>
                    <w:right w:val="single" w:sz="8" w:space="0" w:color="000000"/>
                  </w:tcBorders>
                  <w:tcMar>
                    <w:top w:w="0" w:type="dxa"/>
                    <w:left w:w="108" w:type="dxa"/>
                    <w:bottom w:w="0" w:type="dxa"/>
                    <w:right w:w="108" w:type="dxa"/>
                  </w:tcMar>
                  <w:hideMark/>
                </w:tcPr>
                <w:p w14:paraId="7EBCCBA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507.78125/517.78125 MHz</w:t>
                  </w:r>
                </w:p>
              </w:tc>
            </w:tr>
            <w:tr w:rsidR="00AA7E93" w14:paraId="46D57D1A" w14:textId="77777777">
              <w:trPr>
                <w:trHeight w:val="308"/>
              </w:trPr>
              <w:tc>
                <w:tcPr>
                  <w:tcW w:w="331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F93C71A"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PP/UU ch 62</w:t>
                  </w:r>
                </w:p>
              </w:tc>
              <w:tc>
                <w:tcPr>
                  <w:tcW w:w="3314" w:type="dxa"/>
                  <w:tcBorders>
                    <w:top w:val="nil"/>
                    <w:left w:val="nil"/>
                    <w:bottom w:val="single" w:sz="8" w:space="0" w:color="000000"/>
                    <w:right w:val="single" w:sz="8" w:space="0" w:color="000000"/>
                  </w:tcBorders>
                  <w:tcMar>
                    <w:top w:w="0" w:type="dxa"/>
                    <w:left w:w="108" w:type="dxa"/>
                    <w:bottom w:w="0" w:type="dxa"/>
                    <w:right w:w="108" w:type="dxa"/>
                  </w:tcMar>
                  <w:hideMark/>
                </w:tcPr>
                <w:p w14:paraId="3349F887"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507.7875/517.7875 MHz</w:t>
                  </w:r>
                </w:p>
              </w:tc>
              <w:tc>
                <w:tcPr>
                  <w:tcW w:w="0" w:type="auto"/>
                  <w:vMerge/>
                  <w:tcBorders>
                    <w:top w:val="nil"/>
                    <w:left w:val="nil"/>
                    <w:bottom w:val="single" w:sz="8" w:space="0" w:color="000000"/>
                    <w:right w:val="single" w:sz="8" w:space="0" w:color="000000"/>
                  </w:tcBorders>
                  <w:vAlign w:val="center"/>
                  <w:hideMark/>
                </w:tcPr>
                <w:p w14:paraId="37D022D8" w14:textId="77777777" w:rsidR="00AA7E93" w:rsidRDefault="00AA7E93" w:rsidP="00270212">
                  <w:pPr>
                    <w:keepNext/>
                    <w:keepLines/>
                    <w:spacing w:line="276" w:lineRule="auto"/>
                    <w:rPr>
                      <w:rFonts w:cs="Arial"/>
                      <w:sz w:val="18"/>
                      <w:szCs w:val="20"/>
                      <w:lang w:val="en-GB" w:eastAsia="en-US"/>
                    </w:rPr>
                  </w:pPr>
                </w:p>
              </w:tc>
            </w:tr>
            <w:tr w:rsidR="00AA7E93" w14:paraId="386725C3" w14:textId="77777777">
              <w:trPr>
                <w:trHeight w:val="308"/>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72D36F9"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ch 91</w:t>
                  </w:r>
                </w:p>
              </w:tc>
              <w:tc>
                <w:tcPr>
                  <w:tcW w:w="6628" w:type="dxa"/>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6CA2B0D7"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502.125/512.125 MHz</w:t>
                  </w:r>
                </w:p>
              </w:tc>
            </w:tr>
            <w:tr w:rsidR="00AA7E93" w14:paraId="72EF8023" w14:textId="77777777">
              <w:trPr>
                <w:trHeight w:val="308"/>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82074D7"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ch 103</w:t>
                  </w:r>
                </w:p>
              </w:tc>
              <w:tc>
                <w:tcPr>
                  <w:tcW w:w="6628" w:type="dxa"/>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402F557D"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502.275/512.275 MHz</w:t>
                  </w:r>
                </w:p>
              </w:tc>
            </w:tr>
            <w:tr w:rsidR="00AA7E93" w14:paraId="535BA55B" w14:textId="77777777">
              <w:trPr>
                <w:trHeight w:val="296"/>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913B5D9"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ch 115</w:t>
                  </w:r>
                </w:p>
              </w:tc>
              <w:tc>
                <w:tcPr>
                  <w:tcW w:w="6628" w:type="dxa"/>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34343ED8"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502.425/512.425 MHz</w:t>
                  </w:r>
                </w:p>
              </w:tc>
            </w:tr>
            <w:tr w:rsidR="00AA7E93" w14:paraId="687E579F" w14:textId="77777777">
              <w:trPr>
                <w:trHeight w:val="308"/>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DE3796F"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ch 127</w:t>
                  </w:r>
                </w:p>
              </w:tc>
              <w:tc>
                <w:tcPr>
                  <w:tcW w:w="6628" w:type="dxa"/>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1AB68E50"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502.575/512.575 MHz</w:t>
                  </w:r>
                </w:p>
              </w:tc>
            </w:tr>
            <w:tr w:rsidR="00AA7E93" w14:paraId="1375DA87" w14:textId="77777777">
              <w:trPr>
                <w:trHeight w:val="308"/>
              </w:trPr>
              <w:tc>
                <w:tcPr>
                  <w:tcW w:w="331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1F45051"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Segment ch 139</w:t>
                  </w:r>
                </w:p>
              </w:tc>
              <w:tc>
                <w:tcPr>
                  <w:tcW w:w="6628" w:type="dxa"/>
                  <w:gridSpan w:val="2"/>
                  <w:tcBorders>
                    <w:top w:val="single" w:sz="8" w:space="0" w:color="000000"/>
                    <w:left w:val="nil"/>
                    <w:bottom w:val="single" w:sz="8" w:space="0" w:color="000000"/>
                    <w:right w:val="single" w:sz="8" w:space="0" w:color="000000"/>
                  </w:tcBorders>
                  <w:tcMar>
                    <w:top w:w="0" w:type="dxa"/>
                    <w:left w:w="108" w:type="dxa"/>
                    <w:bottom w:w="0" w:type="dxa"/>
                    <w:right w:w="108" w:type="dxa"/>
                  </w:tcMar>
                  <w:vAlign w:val="center"/>
                  <w:hideMark/>
                </w:tcPr>
                <w:p w14:paraId="24BA204C" w14:textId="77777777" w:rsidR="00AA7E93" w:rsidRDefault="00AA7E93" w:rsidP="00270212">
                  <w:pPr>
                    <w:keepNext/>
                    <w:keepLines/>
                    <w:widowControl w:val="0"/>
                    <w:spacing w:before="40" w:after="120" w:line="240" w:lineRule="auto"/>
                    <w:ind w:right="-23"/>
                    <w:jc w:val="center"/>
                    <w:rPr>
                      <w:rFonts w:cs="Arial"/>
                      <w:sz w:val="18"/>
                      <w:szCs w:val="20"/>
                      <w:lang w:val="en-GB" w:eastAsia="en-US"/>
                    </w:rPr>
                  </w:pPr>
                  <w:r>
                    <w:rPr>
                      <w:rFonts w:cs="Arial"/>
                      <w:sz w:val="18"/>
                      <w:szCs w:val="20"/>
                      <w:lang w:val="en-GB" w:eastAsia="en-US"/>
                    </w:rPr>
                    <w:t>502.725/512.725 MHz</w:t>
                  </w:r>
                </w:p>
              </w:tc>
            </w:tr>
          </w:tbl>
          <w:p w14:paraId="2B4D3B7F" w14:textId="77777777" w:rsidR="00AA7E93" w:rsidRDefault="00AA7E93">
            <w:pPr>
              <w:pStyle w:val="Caption"/>
              <w:pageBreakBefore/>
              <w:ind w:right="-23"/>
              <w:rPr>
                <w:rFonts w:cs="Arial"/>
                <w:sz w:val="20"/>
                <w:lang w:eastAsia="en-US"/>
              </w:rPr>
            </w:pPr>
          </w:p>
        </w:tc>
      </w:tr>
    </w:tbl>
    <w:p w14:paraId="4B2ED134" w14:textId="77777777" w:rsidR="00C42A28" w:rsidRDefault="00C42A28" w:rsidP="00270212">
      <w:pPr>
        <w:rPr>
          <w:szCs w:val="22"/>
        </w:rPr>
        <w:sectPr w:rsidR="00C42A28" w:rsidSect="00270212">
          <w:headerReference w:type="default" r:id="rId18"/>
          <w:footerReference w:type="even" r:id="rId19"/>
          <w:type w:val="oddPage"/>
          <w:pgSz w:w="11906" w:h="16838" w:code="9"/>
          <w:pgMar w:top="1945" w:right="3101" w:bottom="1134" w:left="1134" w:header="709" w:footer="119" w:gutter="0"/>
          <w:cols w:space="708"/>
          <w:docGrid w:linePitch="360"/>
        </w:sectPr>
      </w:pPr>
    </w:p>
    <w:p w14:paraId="736BECDC" w14:textId="76495009" w:rsidR="00C42A28" w:rsidRPr="00AF06C8" w:rsidRDefault="00C42A28" w:rsidP="00C42A28">
      <w:pPr>
        <w:pStyle w:val="Heading1"/>
        <w:numPr>
          <w:ilvl w:val="0"/>
          <w:numId w:val="0"/>
        </w:numPr>
        <w:rPr>
          <w:szCs w:val="44"/>
        </w:rPr>
      </w:pPr>
      <w:bookmarkStart w:id="30" w:name="_Toc26530632"/>
      <w:r w:rsidRPr="00AF06C8">
        <w:rPr>
          <w:szCs w:val="44"/>
        </w:rPr>
        <w:lastRenderedPageBreak/>
        <w:t xml:space="preserve">Appendix </w:t>
      </w:r>
      <w:r>
        <w:rPr>
          <w:szCs w:val="44"/>
        </w:rPr>
        <w:t>B</w:t>
      </w:r>
      <w:r w:rsidRPr="00AF06C8">
        <w:rPr>
          <w:szCs w:val="44"/>
        </w:rPr>
        <w:t xml:space="preserve">: </w:t>
      </w:r>
      <w:r>
        <w:t>Transition Arrangements</w:t>
      </w:r>
      <w:bookmarkEnd w:id="30"/>
    </w:p>
    <w:p w14:paraId="1DD7FC9F" w14:textId="74CCCE67" w:rsidR="00C42A28" w:rsidRDefault="00C42A28" w:rsidP="00C42A28">
      <w:pPr>
        <w:ind w:right="-23"/>
        <w:rPr>
          <w:sz w:val="20"/>
        </w:rPr>
      </w:pPr>
      <w:r>
        <w:t xml:space="preserve">This Appendix describes the remaining transition arrangements. Further information on changes in the 400 MHz band can be found </w:t>
      </w:r>
      <w:hyperlink r:id="rId20" w:history="1">
        <w:r w:rsidR="0079106F">
          <w:rPr>
            <w:rStyle w:val="Hyperlink"/>
          </w:rPr>
          <w:t>on the ACMA website</w:t>
        </w:r>
      </w:hyperlink>
      <w:r w:rsidR="0079106F" w:rsidRPr="0079106F">
        <w:t>.</w:t>
      </w:r>
      <w:r w:rsidRPr="0079106F">
        <w:rPr>
          <w:rStyle w:val="FootnoteReference"/>
          <w:iCs/>
        </w:rPr>
        <w:footnoteReference w:id="6"/>
      </w:r>
      <w:r>
        <w:t xml:space="preserve"> </w:t>
      </w:r>
    </w:p>
    <w:p w14:paraId="4D925F79" w14:textId="2CB31602" w:rsidR="00C42A28" w:rsidRDefault="00C42A28" w:rsidP="00C42A28">
      <w:pPr>
        <w:ind w:right="-23"/>
      </w:pPr>
      <w:r>
        <w:t>The ACMA intended to have the arrangements in the 400 MHz band in place by 31 December 2015 in high and medium</w:t>
      </w:r>
      <w:r w:rsidR="0079106F">
        <w:t>-</w:t>
      </w:r>
      <w:r>
        <w:t>density areas</w:t>
      </w:r>
      <w:r w:rsidR="0079106F">
        <w:t>,</w:t>
      </w:r>
      <w:r>
        <w:t xml:space="preserve"> and by 31 December 2018 in other areas.</w:t>
      </w:r>
    </w:p>
    <w:p w14:paraId="6B3678D2" w14:textId="77777777" w:rsidR="00C42A28" w:rsidRDefault="00C42A28" w:rsidP="00C42A28">
      <w:pPr>
        <w:spacing w:after="80"/>
        <w:ind w:right="-23"/>
      </w:pPr>
      <w:r>
        <w:t>The updated 400 MHz plan consists of five phases:</w:t>
      </w:r>
    </w:p>
    <w:p w14:paraId="23C5FF8F" w14:textId="1129E915" w:rsidR="00C42A28" w:rsidRDefault="00C42A28" w:rsidP="00C42A28">
      <w:pPr>
        <w:pStyle w:val="ListBullet"/>
        <w:ind w:right="-23"/>
      </w:pPr>
      <w:r>
        <w:t>Phase 1: Creation of vacant channels</w:t>
      </w:r>
      <w:r w:rsidR="0079106F">
        <w:t>.</w:t>
      </w:r>
    </w:p>
    <w:p w14:paraId="7DE9E0BF" w14:textId="40203AF9" w:rsidR="00C42A28" w:rsidRDefault="00C42A28" w:rsidP="00C42A28">
      <w:pPr>
        <w:pStyle w:val="ListBullet"/>
        <w:ind w:right="-23"/>
      </w:pPr>
      <w:r>
        <w:t xml:space="preserve">Phase 2: Implementation of 10 MHz duplex frequency split in </w:t>
      </w:r>
      <w:r w:rsidR="0079106F">
        <w:br/>
      </w:r>
      <w:r>
        <w:t>450</w:t>
      </w:r>
      <w:r w:rsidR="0079106F">
        <w:softHyphen/>
        <w:t>–</w:t>
      </w:r>
      <w:r>
        <w:t>470 MHz</w:t>
      </w:r>
      <w:r w:rsidR="0079106F">
        <w:t>.</w:t>
      </w:r>
    </w:p>
    <w:p w14:paraId="105FEA63" w14:textId="77777777" w:rsidR="00C42A28" w:rsidRDefault="00C42A28" w:rsidP="00C42A28">
      <w:pPr>
        <w:pStyle w:val="ListBullet"/>
        <w:ind w:right="-23"/>
      </w:pPr>
      <w:r>
        <w:t>Phase 3: Implementation of the harmonised government spectrum.</w:t>
      </w:r>
    </w:p>
    <w:p w14:paraId="4AAF9A20" w14:textId="149B3D76" w:rsidR="00C42A28" w:rsidRDefault="00C42A28" w:rsidP="00C42A28">
      <w:pPr>
        <w:pStyle w:val="ListBullet"/>
        <w:ind w:right="-23"/>
      </w:pPr>
      <w:r>
        <w:t>Phase 4: Milestone 3</w:t>
      </w:r>
      <w:r w:rsidR="0079106F">
        <w:t>—</w:t>
      </w:r>
      <w:r>
        <w:t>Relocation of remaining services into appropriate spectrum.</w:t>
      </w:r>
    </w:p>
    <w:p w14:paraId="4DB8A660" w14:textId="77777777" w:rsidR="00C42A28" w:rsidRDefault="00C42A28" w:rsidP="00C42A28">
      <w:pPr>
        <w:pStyle w:val="ListBullet"/>
        <w:spacing w:after="240"/>
        <w:ind w:right="-23"/>
      </w:pPr>
      <w:r>
        <w:t>Phase 5: The completion of the 400 MHz implementation project.</w:t>
      </w:r>
    </w:p>
    <w:p w14:paraId="311BA48D" w14:textId="1933FCB5" w:rsidR="00C42A28" w:rsidRDefault="00C42A28" w:rsidP="00C42A28">
      <w:pPr>
        <w:ind w:right="-23"/>
      </w:pPr>
      <w:r>
        <w:t>These phases will overlap somewhat. Longer time frames for transition are proposed outside of high and medium</w:t>
      </w:r>
      <w:r w:rsidR="0079106F">
        <w:t>-</w:t>
      </w:r>
      <w:r>
        <w:t>density areas where spectrum is less congested. Those high-power land mobile and point-to-multipoint licensees with base stations closer than 100 km to the boundary of a high or medium</w:t>
      </w:r>
      <w:r w:rsidR="0079106F">
        <w:t>-</w:t>
      </w:r>
      <w:r>
        <w:t>density area and a low or remote</w:t>
      </w:r>
      <w:r w:rsidR="0079106F">
        <w:t>-</w:t>
      </w:r>
      <w:r>
        <w:t>density area will be required to meet the high and medium</w:t>
      </w:r>
      <w:r w:rsidR="0079106F">
        <w:t>-</w:t>
      </w:r>
      <w:r>
        <w:t>density area deadlines. For example, a high</w:t>
      </w:r>
      <w:r w:rsidR="0079106F">
        <w:t>-</w:t>
      </w:r>
      <w:r>
        <w:t>power</w:t>
      </w:r>
      <w:r w:rsidR="0079106F">
        <w:t>,</w:t>
      </w:r>
      <w:r>
        <w:t xml:space="preserve"> two frequency land mobile user within 100 </w:t>
      </w:r>
      <w:r w:rsidR="0079106F">
        <w:t>km</w:t>
      </w:r>
      <w:r>
        <w:t xml:space="preserve"> of a high or medium</w:t>
      </w:r>
      <w:r w:rsidR="0079106F">
        <w:t>-</w:t>
      </w:r>
      <w:r>
        <w:t>density area will be required to meet the high and medium</w:t>
      </w:r>
      <w:r w:rsidR="0079106F">
        <w:t>-</w:t>
      </w:r>
      <w:r>
        <w:t>density area deadline. Similarly, high and medium</w:t>
      </w:r>
      <w:r w:rsidR="0079106F">
        <w:t>-</w:t>
      </w:r>
      <w:r>
        <w:t>density area deadlines will be required to be met by fixed point-to-point users with one end of their link in a high or medium</w:t>
      </w:r>
      <w:r w:rsidR="00CC189F">
        <w:t>-</w:t>
      </w:r>
      <w:r>
        <w:t xml:space="preserve">density area and the other outside of these areas. </w:t>
      </w:r>
    </w:p>
    <w:p w14:paraId="52604248" w14:textId="77777777" w:rsidR="00C42A28" w:rsidRDefault="00C42A28" w:rsidP="00C42A28">
      <w:pPr>
        <w:pStyle w:val="Heading3"/>
        <w:numPr>
          <w:ilvl w:val="0"/>
          <w:numId w:val="0"/>
        </w:numPr>
        <w:ind w:right="-23"/>
      </w:pPr>
      <w:bookmarkStart w:id="31" w:name="_Toc278972666"/>
      <w:bookmarkStart w:id="32" w:name="_Toc26530633"/>
      <w:r>
        <w:t>Phase 1: Creation of vacant channels</w:t>
      </w:r>
      <w:bookmarkEnd w:id="31"/>
      <w:bookmarkEnd w:id="32"/>
    </w:p>
    <w:p w14:paraId="51DB948E" w14:textId="2703D5B7" w:rsidR="00C42A28" w:rsidRDefault="00C42A28" w:rsidP="00C42A28">
      <w:pPr>
        <w:ind w:right="-23"/>
      </w:pPr>
      <w:r>
        <w:t xml:space="preserve">Licensees in </w:t>
      </w:r>
      <w:r w:rsidR="00CC189F">
        <w:t>high-density areas (</w:t>
      </w:r>
      <w:r>
        <w:t>HDAs</w:t>
      </w:r>
      <w:r w:rsidR="00CC189F">
        <w:t>)</w:t>
      </w:r>
      <w:r>
        <w:t xml:space="preserve"> and </w:t>
      </w:r>
      <w:r w:rsidR="00CC189F">
        <w:t>medium-density areas (</w:t>
      </w:r>
      <w:r>
        <w:t>MDAs</w:t>
      </w:r>
      <w:r w:rsidR="00CC189F">
        <w:t>)</w:t>
      </w:r>
      <w:r>
        <w:t xml:space="preserve"> were required to implement milestone </w:t>
      </w:r>
      <w:r w:rsidR="00CC189F">
        <w:t>1</w:t>
      </w:r>
      <w:r>
        <w:t xml:space="preserve"> measures </w:t>
      </w:r>
      <w:r>
        <w:rPr>
          <w:b/>
        </w:rPr>
        <w:t>by 31 December 2012</w:t>
      </w:r>
      <w:r>
        <w:t xml:space="preserve">. Licensees outside of HDAs and MDAs were required to implement the measures applicable in these areas by </w:t>
      </w:r>
      <w:r>
        <w:rPr>
          <w:b/>
        </w:rPr>
        <w:t>31 December 2013</w:t>
      </w:r>
      <w:r>
        <w:t>. This deadline was limited to users not affected by the implementation of the harmonised government band and the 10 MHz duplex frequency split in 450</w:t>
      </w:r>
      <w:r>
        <w:rPr>
          <w:rFonts w:cs="Arial"/>
        </w:rPr>
        <w:t>–</w:t>
      </w:r>
      <w:r>
        <w:t xml:space="preserve">470 MHz. </w:t>
      </w:r>
    </w:p>
    <w:p w14:paraId="5481BEDD" w14:textId="38DDAB94" w:rsidR="00C42A28" w:rsidRDefault="00C42A28" w:rsidP="00C42A28">
      <w:pPr>
        <w:pStyle w:val="Heading3"/>
        <w:numPr>
          <w:ilvl w:val="0"/>
          <w:numId w:val="0"/>
        </w:numPr>
        <w:ind w:right="-23"/>
      </w:pPr>
      <w:bookmarkStart w:id="33" w:name="_Toc278972667"/>
      <w:bookmarkStart w:id="34" w:name="_Toc26530634"/>
      <w:r>
        <w:t xml:space="preserve">Phase 2: Implementation of 10 MHz duplex frequency split in </w:t>
      </w:r>
      <w:r w:rsidR="00CC189F">
        <w:br/>
      </w:r>
      <w:r>
        <w:t>450–470 MHz</w:t>
      </w:r>
      <w:bookmarkEnd w:id="33"/>
      <w:bookmarkEnd w:id="34"/>
    </w:p>
    <w:p w14:paraId="1084101C" w14:textId="77777777" w:rsidR="00C42A28" w:rsidRDefault="00C42A28" w:rsidP="00C42A28">
      <w:pPr>
        <w:spacing w:after="80"/>
        <w:ind w:right="-23"/>
      </w:pPr>
      <w:r>
        <w:t>The transition to a 10 MHz duplex frequency split in 450</w:t>
      </w:r>
      <w:r>
        <w:rPr>
          <w:rFonts w:cs="Arial"/>
        </w:rPr>
        <w:t>–</w:t>
      </w:r>
      <w:r>
        <w:t>470 MHz has been broken down into a number of steps. These steps were:</w:t>
      </w:r>
    </w:p>
    <w:p w14:paraId="356AC442" w14:textId="6AEE5E82" w:rsidR="00C42A28" w:rsidRDefault="00C42A28" w:rsidP="00C42A28">
      <w:pPr>
        <w:pStyle w:val="ListNumber"/>
        <w:numPr>
          <w:ilvl w:val="0"/>
          <w:numId w:val="19"/>
        </w:numPr>
        <w:ind w:right="-23"/>
      </w:pPr>
      <w:r>
        <w:lastRenderedPageBreak/>
        <w:t>Clearance of users from 452.5</w:t>
      </w:r>
      <w:r w:rsidRPr="00C42A28">
        <w:rPr>
          <w:rFonts w:cs="Arial"/>
        </w:rPr>
        <w:t>–</w:t>
      </w:r>
      <w:r>
        <w:t>453 MHz and 462</w:t>
      </w:r>
      <w:r w:rsidRPr="00C42A28">
        <w:rPr>
          <w:rFonts w:cs="Arial"/>
        </w:rPr>
        <w:t>–</w:t>
      </w:r>
      <w:r>
        <w:t>462.5 MHz into</w:t>
      </w:r>
      <w:r w:rsidR="00CC189F">
        <w:t> </w:t>
      </w:r>
      <w:r>
        <w:t>temporary licences in 440</w:t>
      </w:r>
      <w:r w:rsidRPr="00C42A28">
        <w:rPr>
          <w:rFonts w:cs="Arial"/>
        </w:rPr>
        <w:t>–</w:t>
      </w:r>
      <w:r>
        <w:t>450 MHz or into space created in 469.9875</w:t>
      </w:r>
      <w:r w:rsidRPr="00C42A28">
        <w:rPr>
          <w:rFonts w:cs="Arial"/>
        </w:rPr>
        <w:t>–</w:t>
      </w:r>
      <w:r>
        <w:t>520 MHz. Users were required to implement the measures to address congestion applicable to them simultaneously with their relocation. For example, a 25 kHz channel bandwidth user in a high or medium</w:t>
      </w:r>
      <w:r w:rsidR="00CC189F">
        <w:t>-</w:t>
      </w:r>
      <w:r>
        <w:t xml:space="preserve">density area would be required to transition to 12.5 kHz channelling when transitioning to a new frequency. </w:t>
      </w:r>
    </w:p>
    <w:p w14:paraId="5BF7F9C2" w14:textId="589C5E1D" w:rsidR="00C42A28" w:rsidRDefault="00C42A28" w:rsidP="00C42A28">
      <w:pPr>
        <w:pStyle w:val="ListNumber"/>
      </w:pPr>
      <w:r>
        <w:t>Clearance of users from segment Y (469.4875-469.9875 MHz) into channels into 462</w:t>
      </w:r>
      <w:r>
        <w:rPr>
          <w:rFonts w:cs="Arial"/>
        </w:rPr>
        <w:t>–</w:t>
      </w:r>
      <w:r>
        <w:t>462.5 MHz or into space created in 469.9875</w:t>
      </w:r>
      <w:r>
        <w:rPr>
          <w:rFonts w:cs="Arial"/>
        </w:rPr>
        <w:t>–</w:t>
      </w:r>
      <w:r>
        <w:t>520 MHz. Users were required to implement the measures to address congestion applicable to them simultaneously with their relocation. For example, a high-power single frequency land mobile user in a high or medium</w:t>
      </w:r>
      <w:r w:rsidR="00CC189F">
        <w:t>-</w:t>
      </w:r>
      <w:r>
        <w:t>density area will be required to transition to a low</w:t>
      </w:r>
      <w:r w:rsidR="00CC189F">
        <w:t>-</w:t>
      </w:r>
      <w:r>
        <w:t xml:space="preserve">power service when transitioning to a new frequency. </w:t>
      </w:r>
    </w:p>
    <w:p w14:paraId="533562E3" w14:textId="01D353F5" w:rsidR="00C42A28" w:rsidRDefault="00C42A28" w:rsidP="00C42A28">
      <w:pPr>
        <w:pStyle w:val="ListNumber"/>
        <w:ind w:right="-23"/>
      </w:pPr>
      <w:r>
        <w:t>Following step 1, transition of users to a 10 MHz frequency split via a move of the base receive segment down by 0.5 MHz. Alternatively, users can relocate into spectrum reserved for them in 469.9875</w:t>
      </w:r>
      <w:r>
        <w:rPr>
          <w:rFonts w:cs="Arial"/>
        </w:rPr>
        <w:t>–</w:t>
      </w:r>
      <w:r>
        <w:t>520 MHz. Simultaneously, government users in 453</w:t>
      </w:r>
      <w:r>
        <w:rPr>
          <w:rFonts w:cs="Arial"/>
        </w:rPr>
        <w:t>–</w:t>
      </w:r>
      <w:r>
        <w:t>457.5 MHz and 462.5</w:t>
      </w:r>
      <w:r>
        <w:rPr>
          <w:rFonts w:cs="Arial"/>
        </w:rPr>
        <w:t>–</w:t>
      </w:r>
      <w:r>
        <w:t>467 MHz will relocate into harmonised government spectrum and non-government users in 457.5</w:t>
      </w:r>
      <w:r>
        <w:rPr>
          <w:rFonts w:cs="Arial"/>
        </w:rPr>
        <w:t>–</w:t>
      </w:r>
      <w:r>
        <w:t>459.9875 MHz and 467</w:t>
      </w:r>
      <w:r>
        <w:rPr>
          <w:rFonts w:cs="Arial"/>
        </w:rPr>
        <w:t>–</w:t>
      </w:r>
      <w:r>
        <w:t>469.4875 MHz will relocate elsewhere in the 450</w:t>
      </w:r>
      <w:r>
        <w:rPr>
          <w:rFonts w:cs="Arial"/>
        </w:rPr>
        <w:t>–</w:t>
      </w:r>
      <w:r>
        <w:t>470 MHz band, or into another part of the 400 MHz band.</w:t>
      </w:r>
    </w:p>
    <w:p w14:paraId="421F8F62" w14:textId="1D83AA99" w:rsidR="00C42A28" w:rsidRDefault="00C42A28" w:rsidP="00C42A28">
      <w:pPr>
        <w:ind w:right="-23"/>
      </w:pPr>
      <w:r>
        <w:t>Assignments in segment Y (469.4875-469.9875 MHz), 452.5</w:t>
      </w:r>
      <w:r>
        <w:rPr>
          <w:rFonts w:cs="Arial"/>
        </w:rPr>
        <w:t>–</w:t>
      </w:r>
      <w:r>
        <w:t>453 MHz and 462</w:t>
      </w:r>
      <w:r>
        <w:rPr>
          <w:rFonts w:cs="Arial"/>
        </w:rPr>
        <w:t>–</w:t>
      </w:r>
      <w:r>
        <w:t xml:space="preserve">462.5 MHz were to be cleared </w:t>
      </w:r>
      <w:r>
        <w:rPr>
          <w:b/>
        </w:rPr>
        <w:t xml:space="preserve">by 31 December 2012 </w:t>
      </w:r>
      <w:r w:rsidRPr="00CC189F">
        <w:rPr>
          <w:bCs/>
        </w:rPr>
        <w:t>in high and medium</w:t>
      </w:r>
      <w:r w:rsidR="00CC189F">
        <w:rPr>
          <w:bCs/>
        </w:rPr>
        <w:t>-</w:t>
      </w:r>
      <w:r w:rsidRPr="00CC189F">
        <w:rPr>
          <w:bCs/>
        </w:rPr>
        <w:t xml:space="preserve">density areas </w:t>
      </w:r>
      <w:r>
        <w:t xml:space="preserve">and </w:t>
      </w:r>
      <w:r>
        <w:rPr>
          <w:b/>
        </w:rPr>
        <w:t xml:space="preserve">31 December 2013 </w:t>
      </w:r>
      <w:r w:rsidRPr="00CC189F">
        <w:rPr>
          <w:bCs/>
        </w:rPr>
        <w:t>outside of high and medium</w:t>
      </w:r>
      <w:r w:rsidR="00CC189F">
        <w:rPr>
          <w:bCs/>
        </w:rPr>
        <w:t>-</w:t>
      </w:r>
      <w:r w:rsidRPr="00CC189F">
        <w:rPr>
          <w:bCs/>
        </w:rPr>
        <w:t>density areas</w:t>
      </w:r>
      <w:r>
        <w:t xml:space="preserve">. </w:t>
      </w:r>
    </w:p>
    <w:p w14:paraId="7144FE70" w14:textId="7855E1C8" w:rsidR="00C42A28" w:rsidRDefault="00C42A28" w:rsidP="00C42A28">
      <w:pPr>
        <w:ind w:right="-23"/>
      </w:pPr>
      <w:r>
        <w:t xml:space="preserve">The deadline for step 3 was </w:t>
      </w:r>
      <w:r>
        <w:rPr>
          <w:b/>
        </w:rPr>
        <w:t xml:space="preserve">31 December 2014 </w:t>
      </w:r>
      <w:r w:rsidRPr="00CC189F">
        <w:rPr>
          <w:bCs/>
        </w:rPr>
        <w:t>in high and medium</w:t>
      </w:r>
      <w:r w:rsidR="00CC189F">
        <w:rPr>
          <w:bCs/>
        </w:rPr>
        <w:t>-</w:t>
      </w:r>
      <w:r w:rsidRPr="00CC189F">
        <w:rPr>
          <w:bCs/>
        </w:rPr>
        <w:t>density areas</w:t>
      </w:r>
      <w:r>
        <w:t xml:space="preserve"> and </w:t>
      </w:r>
      <w:r>
        <w:rPr>
          <w:b/>
        </w:rPr>
        <w:t xml:space="preserve">31 December 2015 </w:t>
      </w:r>
      <w:r w:rsidRPr="00CC189F">
        <w:rPr>
          <w:bCs/>
        </w:rPr>
        <w:t>outside of high and medium density areas</w:t>
      </w:r>
      <w:r>
        <w:t xml:space="preserve">. </w:t>
      </w:r>
    </w:p>
    <w:p w14:paraId="5EE41C79" w14:textId="63CC6145" w:rsidR="00C42A28" w:rsidRDefault="00C42A28" w:rsidP="00C42A28">
      <w:pPr>
        <w:ind w:right="-23"/>
      </w:pPr>
      <w:r>
        <w:t>To facilitate transition to new arrangements in this part of the 400 MHz band,</w:t>
      </w:r>
      <w:r w:rsidR="00CC189F">
        <w:t> </w:t>
      </w:r>
      <w:r>
        <w:t>embargoes were placed Australia</w:t>
      </w:r>
      <w:r w:rsidR="00CC189F">
        <w:t>-</w:t>
      </w:r>
      <w:r>
        <w:t xml:space="preserve">wide on all new assignments in </w:t>
      </w:r>
      <w:r w:rsidR="00CC189F">
        <w:br/>
      </w:r>
      <w:r>
        <w:t>452.5</w:t>
      </w:r>
      <w:r>
        <w:rPr>
          <w:rFonts w:cs="Arial"/>
        </w:rPr>
        <w:t>–</w:t>
      </w:r>
      <w:r>
        <w:t>457.5 MHz and 462</w:t>
      </w:r>
      <w:r>
        <w:rPr>
          <w:rFonts w:cs="Arial"/>
        </w:rPr>
        <w:t>–</w:t>
      </w:r>
      <w:r>
        <w:t>467.5 MHz other than existing users transitioning from 403</w:t>
      </w:r>
      <w:r>
        <w:rPr>
          <w:rFonts w:cs="Arial"/>
        </w:rPr>
        <w:t>–</w:t>
      </w:r>
      <w:r>
        <w:t>420 MHz, and on new assignments in 457.5</w:t>
      </w:r>
      <w:r>
        <w:rPr>
          <w:rFonts w:cs="Arial"/>
        </w:rPr>
        <w:t>–</w:t>
      </w:r>
      <w:r>
        <w:t>459.9875 MHz and 467.5</w:t>
      </w:r>
      <w:r>
        <w:rPr>
          <w:rFonts w:cs="Arial"/>
        </w:rPr>
        <w:t>–</w:t>
      </w:r>
      <w:r>
        <w:t>469.9875 MHz not authorised by the relevant state or territory government NCCGR representative as part of the implementation of harmonised government spectrum. It is the ACMA’s intention to maintain the embargo in 452.5</w:t>
      </w:r>
      <w:r>
        <w:rPr>
          <w:rFonts w:cs="Arial"/>
        </w:rPr>
        <w:t>–</w:t>
      </w:r>
      <w:r>
        <w:t>457.5 MHz and 462</w:t>
      </w:r>
      <w:r>
        <w:rPr>
          <w:rFonts w:cs="Arial"/>
        </w:rPr>
        <w:t>–</w:t>
      </w:r>
      <w:r>
        <w:t>467.5 MHz until the end of the transition period to ensure users in 403</w:t>
      </w:r>
      <w:r>
        <w:rPr>
          <w:rFonts w:cs="Arial"/>
        </w:rPr>
        <w:t>–</w:t>
      </w:r>
      <w:r>
        <w:t>420 MHz are given an opportunity to transition within their equipment tuning range. However, the availability of channels in this band will be monitored throughout transition, and the embargo lifted on all or part of this spectrum earlier if possible.</w:t>
      </w:r>
    </w:p>
    <w:p w14:paraId="7025374E" w14:textId="77777777" w:rsidR="00C42A28" w:rsidRDefault="00C42A28" w:rsidP="00C42A28">
      <w:pPr>
        <w:pStyle w:val="Heading3"/>
        <w:numPr>
          <w:ilvl w:val="0"/>
          <w:numId w:val="0"/>
        </w:numPr>
        <w:ind w:right="-23"/>
      </w:pPr>
      <w:bookmarkStart w:id="35" w:name="_Toc278972668"/>
      <w:bookmarkStart w:id="36" w:name="_Toc26530635"/>
      <w:r>
        <w:t>Phase 3: Implementation of the harmonised government band</w:t>
      </w:r>
      <w:bookmarkEnd w:id="35"/>
      <w:bookmarkEnd w:id="36"/>
    </w:p>
    <w:p w14:paraId="5EC79402" w14:textId="77777777" w:rsidR="00C42A28" w:rsidRDefault="00C42A28" w:rsidP="00C42A28">
      <w:pPr>
        <w:spacing w:after="80"/>
        <w:ind w:right="-23"/>
      </w:pPr>
      <w:r>
        <w:t>The implementation of the harmonised government band will require:</w:t>
      </w:r>
    </w:p>
    <w:p w14:paraId="2986077D" w14:textId="77777777" w:rsidR="00C42A28" w:rsidRDefault="00C42A28" w:rsidP="00C42A28">
      <w:pPr>
        <w:pStyle w:val="ListBullet"/>
        <w:ind w:right="-23"/>
      </w:pPr>
      <w:r>
        <w:t>the relocation of non-government users currently in segments identified for harmonised government use to elsewhere in the band</w:t>
      </w:r>
    </w:p>
    <w:p w14:paraId="6B816F84" w14:textId="543C5214" w:rsidR="00C42A28" w:rsidRDefault="00C42A28" w:rsidP="00CC189F">
      <w:pPr>
        <w:pStyle w:val="ListBulletLast"/>
      </w:pPr>
      <w:r>
        <w:t>the relocation of government users into the segments identified for harmonised government use.</w:t>
      </w:r>
    </w:p>
    <w:p w14:paraId="5FA006B3" w14:textId="0E91D58A" w:rsidR="00C42A28" w:rsidRDefault="00C42A28" w:rsidP="00C42A28">
      <w:pPr>
        <w:ind w:right="-23"/>
      </w:pPr>
      <w:r>
        <w:t>Government users currently operating above 470 MHz will require spectrum in 450</w:t>
      </w:r>
      <w:r>
        <w:rPr>
          <w:rFonts w:cs="Arial"/>
        </w:rPr>
        <w:t>–</w:t>
      </w:r>
      <w:r>
        <w:t xml:space="preserve">470 MHz to enable transition within the tuning range of existing </w:t>
      </w:r>
      <w:r>
        <w:lastRenderedPageBreak/>
        <w:t xml:space="preserve">equipment. Therefore, time was required following the completion of Phase 2 of transition to enable the implementation of the harmonised government band.  </w:t>
      </w:r>
    </w:p>
    <w:p w14:paraId="105D3AE0" w14:textId="01132657" w:rsidR="00C42A28" w:rsidRDefault="00C42A28" w:rsidP="00C42A28">
      <w:pPr>
        <w:ind w:right="-23"/>
      </w:pPr>
      <w:r>
        <w:t>Government users who are yet to transition into HGS spectrum are required to perform a retune to ensure they are on a 10 MHz duplex frequency split in 450</w:t>
      </w:r>
      <w:r>
        <w:rPr>
          <w:rFonts w:cs="Arial"/>
        </w:rPr>
        <w:t>–</w:t>
      </w:r>
      <w:r>
        <w:t xml:space="preserve">470 MHz in all density areas as soon as possible. Non-government users who are yet to relocate out of harmonised government segments in all density areas are urged to do so as soon as possible. </w:t>
      </w:r>
    </w:p>
    <w:p w14:paraId="4B0A8706" w14:textId="4A834F9F" w:rsidR="00C42A28" w:rsidRDefault="00C42A28" w:rsidP="00C42A28">
      <w:pPr>
        <w:ind w:right="-23"/>
      </w:pPr>
      <w:r>
        <w:t>Licensees had until 31 December 2018 to implement the harmonised government band outside of high and medium</w:t>
      </w:r>
      <w:r w:rsidR="003C6FFA">
        <w:t>-</w:t>
      </w:r>
      <w:r>
        <w:t xml:space="preserve">density areas. In other words, non-government users were required to relocate out of harmonised government segments by </w:t>
      </w:r>
      <w:r>
        <w:rPr>
          <w:b/>
        </w:rPr>
        <w:t>31 December 2018</w:t>
      </w:r>
      <w:r>
        <w:t xml:space="preserve"> outside of high and medium</w:t>
      </w:r>
      <w:r w:rsidR="00C866CF">
        <w:t>-</w:t>
      </w:r>
      <w:r>
        <w:t>density areas, and government users were required to move into the harmonised government segments by 31 December 2018 outside of high and medium</w:t>
      </w:r>
      <w:r w:rsidR="00C866CF">
        <w:t>-</w:t>
      </w:r>
      <w:r>
        <w:t>density areas.</w:t>
      </w:r>
    </w:p>
    <w:p w14:paraId="63F9CACC" w14:textId="2B5683A9" w:rsidR="00C42A28" w:rsidRDefault="00C42A28" w:rsidP="00C42A28">
      <w:pPr>
        <w:pStyle w:val="Heading3"/>
        <w:numPr>
          <w:ilvl w:val="0"/>
          <w:numId w:val="0"/>
        </w:numPr>
        <w:ind w:right="-23"/>
      </w:pPr>
      <w:bookmarkStart w:id="37" w:name="_Toc26530636"/>
      <w:r>
        <w:t>Phase 4: Milestone 3</w:t>
      </w:r>
      <w:r w:rsidR="00C866CF">
        <w:t>—</w:t>
      </w:r>
      <w:r>
        <w:t>Relocation of remaining services into appropriate spectrum</w:t>
      </w:r>
      <w:bookmarkEnd w:id="37"/>
    </w:p>
    <w:p w14:paraId="3004E8CD" w14:textId="42EA5EA1" w:rsidR="00C42A28" w:rsidRDefault="00C42A28" w:rsidP="00C866CF">
      <w:pPr>
        <w:pStyle w:val="ListNumber"/>
        <w:numPr>
          <w:ilvl w:val="0"/>
          <w:numId w:val="0"/>
        </w:numPr>
        <w:spacing w:after="240"/>
        <w:ind w:right="-23"/>
      </w:pPr>
      <w:r>
        <w:t>The implementation of this next step requires those licensees who are yet to transition into appropriate government, rail and non-government spectrum to relocate into the correct spectrum. Government users in band segments above 470MHz may require spectrum in the band segments T and Y to enable transition within the tunning range of existing equipment.</w:t>
      </w:r>
    </w:p>
    <w:p w14:paraId="4D964253" w14:textId="72705320" w:rsidR="00C42A28" w:rsidRDefault="00C42A28" w:rsidP="00C866CF">
      <w:pPr>
        <w:pStyle w:val="ListNumber"/>
        <w:numPr>
          <w:ilvl w:val="0"/>
          <w:numId w:val="0"/>
        </w:numPr>
        <w:spacing w:after="240"/>
        <w:ind w:right="-23"/>
      </w:pPr>
      <w:r>
        <w:t>The ACMA contacted licensees affected by Milestone 3 and advised them of their obligation to transition into spectrum designated for their use.  The deadline for this transition was the 31 December 2015 in high and medium density areas and 31</w:t>
      </w:r>
      <w:r>
        <w:rPr>
          <w:vertAlign w:val="superscript"/>
        </w:rPr>
        <w:t xml:space="preserve"> </w:t>
      </w:r>
      <w:r>
        <w:t>December 2018 in all other areas.</w:t>
      </w:r>
    </w:p>
    <w:p w14:paraId="4CC044F8" w14:textId="0F54B7B1" w:rsidR="00C42A28" w:rsidRDefault="00C42A28" w:rsidP="00C42A28">
      <w:pPr>
        <w:pStyle w:val="Heading3"/>
        <w:numPr>
          <w:ilvl w:val="0"/>
          <w:numId w:val="0"/>
        </w:numPr>
        <w:ind w:right="-23"/>
      </w:pPr>
      <w:bookmarkStart w:id="38" w:name="_Toc26530637"/>
      <w:r>
        <w:t>Phase 5: Completion of the 400 MHz implementation project</w:t>
      </w:r>
      <w:bookmarkEnd w:id="38"/>
    </w:p>
    <w:p w14:paraId="58537060" w14:textId="77777777" w:rsidR="00C42A28" w:rsidRDefault="00C42A28" w:rsidP="00C42A28">
      <w:pPr>
        <w:ind w:right="-23"/>
      </w:pPr>
      <w:r>
        <w:t>The transition deadlines for the project have now expired.</w:t>
      </w:r>
    </w:p>
    <w:p w14:paraId="0604CDAB" w14:textId="77777777" w:rsidR="00C42A28" w:rsidRDefault="00C42A28" w:rsidP="00C42A28">
      <w:pPr>
        <w:spacing w:after="80"/>
        <w:ind w:right="-23"/>
      </w:pPr>
      <w:r>
        <w:t>To assist in the completion of the 400 MHz implementation project several decisions have been made:</w:t>
      </w:r>
    </w:p>
    <w:p w14:paraId="0152CDF3" w14:textId="6FB3522B" w:rsidR="00C42A28" w:rsidRDefault="00C42A28" w:rsidP="00C42A28">
      <w:pPr>
        <w:pStyle w:val="ListBullet"/>
        <w:ind w:right="-23"/>
      </w:pPr>
      <w:r>
        <w:t xml:space="preserve">There is no longer a requirement for Rail Industry clients to transition into Rail Industry Only (RIO) spectrum. FAP 7 remains in place for new assignments in </w:t>
      </w:r>
      <w:r w:rsidR="00C866CF">
        <w:t>r</w:t>
      </w:r>
      <w:r>
        <w:t xml:space="preserve">ail </w:t>
      </w:r>
      <w:r w:rsidR="00C866CF">
        <w:t>s</w:t>
      </w:r>
      <w:r>
        <w:t>pectrum and should be followed to accommodate assignments within RIO where practicable.</w:t>
      </w:r>
    </w:p>
    <w:p w14:paraId="60B398ED" w14:textId="4D643707" w:rsidR="00C42A28" w:rsidRDefault="00C42A28" w:rsidP="00C42A28">
      <w:pPr>
        <w:pStyle w:val="ListBullet"/>
        <w:ind w:right="-23"/>
      </w:pPr>
      <w:r>
        <w:t>All other licensees who are yet to transition into the correct segments are to do so as soon as practicable. The ACMA will engage with, and assist, those licensees who are yet to transition and discuss plans in place to facilitate the move.</w:t>
      </w:r>
    </w:p>
    <w:p w14:paraId="64FE9809" w14:textId="78B78A00" w:rsidR="00C42A28" w:rsidRDefault="00C42A28" w:rsidP="00C42A28">
      <w:pPr>
        <w:pStyle w:val="ListBullet"/>
        <w:ind w:right="-23"/>
      </w:pPr>
      <w:r>
        <w:t xml:space="preserve">Single frequency </w:t>
      </w:r>
      <w:r w:rsidR="00C866CF">
        <w:t>p</w:t>
      </w:r>
      <w:r>
        <w:t>oint</w:t>
      </w:r>
      <w:r w:rsidR="00C866CF">
        <w:t>-</w:t>
      </w:r>
      <w:r>
        <w:t>to</w:t>
      </w:r>
      <w:r w:rsidR="00C866CF">
        <w:t>-p</w:t>
      </w:r>
      <w:r>
        <w:t xml:space="preserve">oint and single frequency </w:t>
      </w:r>
      <w:r w:rsidR="00C866CF">
        <w:t>p</w:t>
      </w:r>
      <w:r>
        <w:t>oint</w:t>
      </w:r>
      <w:r w:rsidR="00C866CF">
        <w:t>-</w:t>
      </w:r>
      <w:r>
        <w:t>to</w:t>
      </w:r>
      <w:r w:rsidR="00C866CF">
        <w:t>-m</w:t>
      </w:r>
      <w:r>
        <w:t xml:space="preserve">ultipoint links are not required to transition outside of </w:t>
      </w:r>
      <w:r w:rsidR="00C866CF">
        <w:t>f</w:t>
      </w:r>
      <w:r>
        <w:t>ixed segments.</w:t>
      </w:r>
    </w:p>
    <w:p w14:paraId="161B71B5" w14:textId="77777777" w:rsidR="00C42A28" w:rsidRDefault="00C42A28" w:rsidP="00C42A28">
      <w:pPr>
        <w:pStyle w:val="ListBullet"/>
        <w:numPr>
          <w:ilvl w:val="0"/>
          <w:numId w:val="0"/>
        </w:numPr>
        <w:tabs>
          <w:tab w:val="left" w:pos="720"/>
        </w:tabs>
        <w:ind w:right="-23"/>
      </w:pPr>
    </w:p>
    <w:p w14:paraId="09D0B555" w14:textId="3D10DDAB" w:rsidR="0033345E" w:rsidRPr="0033345E" w:rsidRDefault="0033345E" w:rsidP="00270212">
      <w:pPr>
        <w:rPr>
          <w:szCs w:val="22"/>
        </w:rPr>
      </w:pPr>
    </w:p>
    <w:sectPr w:rsidR="0033345E" w:rsidRPr="0033345E" w:rsidSect="00C42A28">
      <w:pgSz w:w="11906" w:h="16838" w:code="9"/>
      <w:pgMar w:top="1945" w:right="3101" w:bottom="1134" w:left="1134" w:header="709" w:footer="11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E66A0" w14:textId="77777777" w:rsidR="002B0EBC" w:rsidRDefault="002B0EBC">
      <w:r>
        <w:separator/>
      </w:r>
    </w:p>
  </w:endnote>
  <w:endnote w:type="continuationSeparator" w:id="0">
    <w:p w14:paraId="39A02CBB" w14:textId="77777777" w:rsidR="002B0EBC" w:rsidRDefault="002B0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elveticaNeueLT Std Lt">
    <w:altName w:val="Malgun Gothic"/>
    <w:panose1 w:val="00000000000000000000"/>
    <w:charset w:val="00"/>
    <w:family w:val="swiss"/>
    <w:notTrueType/>
    <w:pitch w:val="variable"/>
    <w:sig w:usb0="800000AF" w:usb1="4000204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031D9" w14:textId="3866D8AD" w:rsidR="002B0EBC" w:rsidRPr="00F012AE" w:rsidRDefault="002B0EBC" w:rsidP="00A07457">
    <w:pPr>
      <w:pStyle w:val="Footer"/>
      <w:framePr w:w="1334" w:h="357" w:hRule="exact" w:vSpace="425" w:wrap="around" w:vAnchor="page" w:hAnchor="page" w:x="1220" w:y="15984"/>
      <w:tabs>
        <w:tab w:val="clear" w:pos="113"/>
        <w:tab w:val="left" w:pos="284"/>
      </w:tabs>
      <w:rPr>
        <w:rFonts w:cs="Arial"/>
      </w:rPr>
    </w:pPr>
    <w:r w:rsidRPr="00F012AE">
      <w:rPr>
        <w:rFonts w:cs="Arial"/>
        <w:noProof/>
        <w:spacing w:val="-16"/>
        <w:sz w:val="20"/>
        <w:szCs w:val="20"/>
      </w:rPr>
      <w:t xml:space="preserve">RALI </w:t>
    </w:r>
    <w:r>
      <w:rPr>
        <w:rFonts w:cs="Arial"/>
        <w:noProof/>
        <w:spacing w:val="-16"/>
        <w:sz w:val="20"/>
        <w:szCs w:val="20"/>
      </w:rPr>
      <w:t xml:space="preserve"> MS 22</w:t>
    </w:r>
  </w:p>
  <w:p w14:paraId="202528D3" w14:textId="77777777" w:rsidR="002B0EBC" w:rsidRPr="00622A3B" w:rsidRDefault="002B0EBC" w:rsidP="00A07457">
    <w:pPr>
      <w:pStyle w:val="Footer"/>
      <w:framePr w:w="1334" w:h="357" w:hRule="exact" w:vSpace="425" w:wrap="around" w:vAnchor="page" w:hAnchor="page" w:x="9337" w:y="16047"/>
      <w:pBdr>
        <w:top w:val="single" w:sz="4" w:space="1" w:color="auto"/>
      </w:pBdr>
      <w:tabs>
        <w:tab w:val="clear" w:pos="113"/>
        <w:tab w:val="left" w:pos="284"/>
      </w:tabs>
      <w:jc w:val="right"/>
      <w:rPr>
        <w:rFonts w:cs="Arial"/>
      </w:rPr>
    </w:pPr>
    <w:r w:rsidRPr="00622A3B">
      <w:rPr>
        <w:rFonts w:cs="Arial"/>
        <w:b/>
        <w:noProof/>
        <w:spacing w:val="-16"/>
        <w:sz w:val="20"/>
        <w:szCs w:val="20"/>
      </w:rPr>
      <w:t>a</w:t>
    </w:r>
    <w:r w:rsidRPr="00622A3B">
      <w:rPr>
        <w:rFonts w:cs="Arial"/>
        <w:b/>
        <w:noProof/>
        <w:spacing w:val="-15"/>
        <w:sz w:val="20"/>
        <w:szCs w:val="20"/>
      </w:rPr>
      <w:t>c</w:t>
    </w:r>
    <w:r w:rsidRPr="00622A3B">
      <w:rPr>
        <w:rFonts w:cs="Arial"/>
        <w:b/>
        <w:noProof/>
        <w:spacing w:val="-16"/>
        <w:sz w:val="20"/>
        <w:szCs w:val="20"/>
      </w:rPr>
      <w:t>m</w:t>
    </w:r>
    <w:r w:rsidRPr="00622A3B">
      <w:rPr>
        <w:rFonts w:cs="Arial"/>
        <w:b/>
        <w:noProof/>
        <w:spacing w:val="-14"/>
        <w:sz w:val="20"/>
        <w:szCs w:val="20"/>
      </w:rPr>
      <w:t>a</w:t>
    </w:r>
    <w:r w:rsidRPr="0094078F">
      <w:rPr>
        <w:rFonts w:cs="Arial"/>
      </w:rPr>
      <w:tab/>
    </w:r>
    <w:r>
      <w:rPr>
        <w:rFonts w:cs="Arial"/>
      </w:rPr>
      <w:t xml:space="preserve"> </w:t>
    </w:r>
    <w:r w:rsidRPr="00622A3B">
      <w:rPr>
        <w:rFonts w:cs="Arial"/>
      </w:rPr>
      <w:t>|</w:t>
    </w:r>
    <w:r>
      <w:tab/>
    </w:r>
    <w:r>
      <w:fldChar w:fldCharType="begin"/>
    </w:r>
    <w:r>
      <w:instrText xml:space="preserve"> PAGE   \* MERGEFORMAT </w:instrText>
    </w:r>
    <w:r>
      <w:fldChar w:fldCharType="separate"/>
    </w:r>
    <w:r>
      <w:rPr>
        <w:noProof/>
      </w:rPr>
      <w:t>iii</w:t>
    </w:r>
    <w:r>
      <w:rPr>
        <w:noProof/>
      </w:rPr>
      <w:fldChar w:fldCharType="end"/>
    </w:r>
  </w:p>
  <w:p w14:paraId="4C9BFC12" w14:textId="77777777" w:rsidR="002B0EBC" w:rsidRPr="00822B3D" w:rsidRDefault="002B0EBC" w:rsidP="00A07457">
    <w:pPr>
      <w:pStyle w:val="Footer"/>
      <w:tabs>
        <w:tab w:val="left" w:pos="1070"/>
      </w:tabs>
    </w:pPr>
    <w:r>
      <w:tab/>
    </w:r>
    <w:r>
      <w:tab/>
    </w:r>
    <w:r>
      <w:tab/>
    </w:r>
    <w:r>
      <w:tab/>
    </w:r>
    <w:r>
      <w:tab/>
    </w:r>
    <w:r>
      <w:tab/>
    </w:r>
    <w:r>
      <w:tab/>
    </w:r>
    <w:r>
      <w:tab/>
    </w:r>
    <w:r>
      <w:tab/>
    </w:r>
    <w:r>
      <w:tab/>
    </w:r>
    <w:r>
      <w:tab/>
    </w:r>
    <w:r>
      <w:tab/>
    </w:r>
    <w:r>
      <w:tab/>
    </w:r>
    <w:r>
      <w:tab/>
    </w:r>
    <w:r>
      <w:tab/>
    </w:r>
    <w:r>
      <w:tab/>
    </w:r>
    <w:r>
      <w:tab/>
    </w:r>
    <w:r>
      <w:tab/>
    </w:r>
  </w:p>
  <w:p w14:paraId="17221B14" w14:textId="77777777" w:rsidR="002B0EBC" w:rsidRPr="006A18C6" w:rsidRDefault="002B0EBC" w:rsidP="00A07457">
    <w:pPr>
      <w:pStyle w:val="Footer"/>
    </w:pPr>
  </w:p>
  <w:p w14:paraId="12758E42" w14:textId="77777777" w:rsidR="002B0EBC" w:rsidRPr="00A07457" w:rsidRDefault="002B0EBC" w:rsidP="00A07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3F6D" w14:textId="77777777" w:rsidR="002B0EBC" w:rsidRPr="00622A3B" w:rsidRDefault="002B0EBC" w:rsidP="00A07457">
    <w:pPr>
      <w:pStyle w:val="Footer"/>
      <w:framePr w:w="1334" w:h="357" w:hRule="exact" w:vSpace="425" w:wrap="around" w:vAnchor="page" w:hAnchor="page" w:x="1156" w:y="16126"/>
      <w:pBdr>
        <w:top w:val="single" w:sz="4" w:space="1" w:color="auto"/>
      </w:pBdr>
      <w:tabs>
        <w:tab w:val="clear" w:pos="113"/>
        <w:tab w:val="left" w:pos="284"/>
      </w:tabs>
      <w:jc w:val="right"/>
      <w:rPr>
        <w:rFonts w:cs="Arial"/>
      </w:rPr>
    </w:pPr>
    <w:r w:rsidRPr="00622A3B">
      <w:rPr>
        <w:rFonts w:cs="Arial"/>
        <w:b/>
        <w:noProof/>
        <w:spacing w:val="-16"/>
        <w:sz w:val="20"/>
        <w:szCs w:val="20"/>
      </w:rPr>
      <w:t>a</w:t>
    </w:r>
    <w:r w:rsidRPr="00622A3B">
      <w:rPr>
        <w:rFonts w:cs="Arial"/>
        <w:b/>
        <w:noProof/>
        <w:spacing w:val="-15"/>
        <w:sz w:val="20"/>
        <w:szCs w:val="20"/>
      </w:rPr>
      <w:t>c</w:t>
    </w:r>
    <w:r w:rsidRPr="00622A3B">
      <w:rPr>
        <w:rFonts w:cs="Arial"/>
        <w:b/>
        <w:noProof/>
        <w:spacing w:val="-16"/>
        <w:sz w:val="20"/>
        <w:szCs w:val="20"/>
      </w:rPr>
      <w:t>m</w:t>
    </w:r>
    <w:r w:rsidRPr="00622A3B">
      <w:rPr>
        <w:rFonts w:cs="Arial"/>
        <w:b/>
        <w:noProof/>
        <w:spacing w:val="-14"/>
        <w:sz w:val="20"/>
        <w:szCs w:val="20"/>
      </w:rPr>
      <w:t>a</w:t>
    </w:r>
    <w:r w:rsidRPr="0094078F">
      <w:rPr>
        <w:rFonts w:cs="Arial"/>
      </w:rPr>
      <w:tab/>
    </w:r>
    <w:r>
      <w:rPr>
        <w:rFonts w:cs="Arial"/>
      </w:rPr>
      <w:t xml:space="preserve"> </w:t>
    </w:r>
    <w:r w:rsidRPr="00622A3B">
      <w:rPr>
        <w:rFonts w:cs="Arial"/>
      </w:rPr>
      <w:t>|</w:t>
    </w:r>
    <w:r>
      <w:tab/>
    </w:r>
    <w:r>
      <w:fldChar w:fldCharType="begin"/>
    </w:r>
    <w:r>
      <w:instrText xml:space="preserve"> PAGE   \* MERGEFORMAT </w:instrText>
    </w:r>
    <w:r>
      <w:fldChar w:fldCharType="separate"/>
    </w:r>
    <w:r>
      <w:rPr>
        <w:noProof/>
      </w:rPr>
      <w:t>ii</w:t>
    </w:r>
    <w:r>
      <w:rPr>
        <w:noProof/>
      </w:rPr>
      <w:fldChar w:fldCharType="end"/>
    </w:r>
  </w:p>
  <w:p w14:paraId="0CFC2D57" w14:textId="24DC8A06" w:rsidR="002B0EBC" w:rsidRPr="00F012AE" w:rsidRDefault="002B0EBC" w:rsidP="00A07457">
    <w:pPr>
      <w:pStyle w:val="Footer"/>
      <w:framePr w:w="1334" w:h="357" w:hRule="exact" w:vSpace="425" w:wrap="around" w:vAnchor="page" w:hAnchor="page" w:x="9258" w:y="16063"/>
      <w:tabs>
        <w:tab w:val="clear" w:pos="113"/>
        <w:tab w:val="left" w:pos="284"/>
      </w:tabs>
      <w:rPr>
        <w:rFonts w:cs="Arial"/>
      </w:rPr>
    </w:pPr>
    <w:r w:rsidRPr="00F012AE">
      <w:rPr>
        <w:rFonts w:cs="Arial"/>
        <w:noProof/>
        <w:spacing w:val="-16"/>
        <w:sz w:val="20"/>
        <w:szCs w:val="20"/>
      </w:rPr>
      <w:t xml:space="preserve">RALI </w:t>
    </w:r>
    <w:r>
      <w:rPr>
        <w:rFonts w:cs="Arial"/>
        <w:noProof/>
        <w:spacing w:val="-16"/>
        <w:sz w:val="20"/>
        <w:szCs w:val="20"/>
      </w:rPr>
      <w:t xml:space="preserve"> MS 22</w:t>
    </w:r>
  </w:p>
  <w:p w14:paraId="416415EE" w14:textId="77777777" w:rsidR="002B0EBC" w:rsidRDefault="002B0EBC" w:rsidP="00A07457">
    <w:pPr>
      <w:pStyle w:val="Footer"/>
      <w:tabs>
        <w:tab w:val="clear" w:pos="113"/>
        <w:tab w:val="left" w:pos="2550"/>
      </w:tabs>
    </w:pPr>
    <w:r>
      <w:tab/>
    </w:r>
  </w:p>
  <w:p w14:paraId="37AA358F" w14:textId="77777777" w:rsidR="002B0EBC" w:rsidRPr="00A07457" w:rsidRDefault="002B0EBC" w:rsidP="00A07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54CB6" w14:textId="77777777" w:rsidR="002B0EBC" w:rsidRPr="00622A3B" w:rsidRDefault="002B0EBC" w:rsidP="00D2150E">
    <w:pPr>
      <w:pStyle w:val="FooterLeft"/>
      <w:framePr w:wrap="around" w:x="957" w:y="16145"/>
      <w:tabs>
        <w:tab w:val="clear" w:pos="113"/>
        <w:tab w:val="right" w:pos="397"/>
      </w:tabs>
    </w:pPr>
    <w:r w:rsidRPr="00575AC5">
      <w:fldChar w:fldCharType="begin"/>
    </w:r>
    <w:r w:rsidRPr="00575AC5">
      <w:instrText xml:space="preserve"> PAGE  \* Arabic  \* MERGEFORMAT </w:instrText>
    </w:r>
    <w:r w:rsidRPr="00575AC5">
      <w:fldChar w:fldCharType="separate"/>
    </w:r>
    <w:r>
      <w:t>2</w:t>
    </w:r>
    <w:r w:rsidRPr="00575AC5">
      <w:fldChar w:fldCharType="end"/>
    </w:r>
    <w:r w:rsidRPr="0094078F">
      <w:tab/>
    </w:r>
    <w:r w:rsidRPr="00622A3B">
      <w:t>|</w:t>
    </w:r>
    <w:r>
      <w:tab/>
    </w:r>
    <w:r w:rsidRPr="00622A3B">
      <w:rPr>
        <w:b/>
        <w:noProof/>
        <w:spacing w:val="-16"/>
        <w:sz w:val="20"/>
        <w:szCs w:val="20"/>
      </w:rPr>
      <w:t>a</w:t>
    </w:r>
    <w:r w:rsidRPr="00622A3B">
      <w:rPr>
        <w:b/>
        <w:noProof/>
        <w:spacing w:val="-15"/>
        <w:sz w:val="20"/>
        <w:szCs w:val="20"/>
      </w:rPr>
      <w:t>c</w:t>
    </w:r>
    <w:r w:rsidRPr="00622A3B">
      <w:rPr>
        <w:b/>
        <w:noProof/>
        <w:spacing w:val="-16"/>
        <w:sz w:val="20"/>
        <w:szCs w:val="20"/>
      </w:rPr>
      <w:t>m</w:t>
    </w:r>
    <w:r w:rsidRPr="00622A3B">
      <w:rPr>
        <w:b/>
        <w:noProof/>
        <w:spacing w:val="-14"/>
        <w:sz w:val="20"/>
        <w:szCs w:val="20"/>
      </w:rPr>
      <w:t>a</w:t>
    </w:r>
  </w:p>
  <w:p w14:paraId="1F4C9FEF" w14:textId="77777777" w:rsidR="002B0EBC" w:rsidRPr="00A5474E" w:rsidRDefault="002B0EBC" w:rsidP="00D2150E">
    <w:pPr>
      <w:pStyle w:val="Footer"/>
      <w:framePr w:w="1440" w:h="357" w:hRule="exact" w:vSpace="425" w:wrap="around" w:vAnchor="page" w:hAnchor="page" w:x="957" w:y="16145"/>
    </w:pPr>
  </w:p>
  <w:p w14:paraId="59A0680B" w14:textId="59440B18" w:rsidR="002B0EBC" w:rsidRPr="00F012AE" w:rsidRDefault="002B0EBC" w:rsidP="00B95DA7">
    <w:pPr>
      <w:pStyle w:val="Footer"/>
      <w:framePr w:w="1334" w:h="357" w:hRule="exact" w:vSpace="425" w:wrap="around" w:vAnchor="page" w:hAnchor="page" w:x="8839" w:y="16172"/>
      <w:tabs>
        <w:tab w:val="clear" w:pos="113"/>
        <w:tab w:val="left" w:pos="284"/>
      </w:tabs>
      <w:rPr>
        <w:rFonts w:cs="Arial"/>
      </w:rPr>
    </w:pPr>
    <w:r w:rsidRPr="00F012AE">
      <w:rPr>
        <w:rFonts w:cs="Arial"/>
        <w:noProof/>
        <w:spacing w:val="-16"/>
        <w:sz w:val="20"/>
        <w:szCs w:val="20"/>
      </w:rPr>
      <w:t xml:space="preserve">RALI </w:t>
    </w:r>
    <w:r>
      <w:rPr>
        <w:rFonts w:cs="Arial"/>
        <w:noProof/>
        <w:spacing w:val="-16"/>
        <w:sz w:val="20"/>
        <w:szCs w:val="20"/>
      </w:rPr>
      <w:t xml:space="preserve"> MS 22</w:t>
    </w:r>
  </w:p>
  <w:p w14:paraId="79C44E20" w14:textId="77777777" w:rsidR="002B0EBC" w:rsidRPr="00A5474E" w:rsidRDefault="002B0EBC" w:rsidP="00A54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0D82E" w14:textId="77777777" w:rsidR="002B0EBC" w:rsidRDefault="002B0EBC">
      <w:r>
        <w:separator/>
      </w:r>
    </w:p>
  </w:footnote>
  <w:footnote w:type="continuationSeparator" w:id="0">
    <w:p w14:paraId="66A95B09" w14:textId="77777777" w:rsidR="002B0EBC" w:rsidRDefault="002B0EBC">
      <w:r>
        <w:continuationSeparator/>
      </w:r>
    </w:p>
  </w:footnote>
  <w:footnote w:id="1">
    <w:p w14:paraId="7DA4CCEC" w14:textId="0476DCEE" w:rsidR="002B0EBC" w:rsidRDefault="002B0EBC" w:rsidP="00C42A28">
      <w:pPr>
        <w:pStyle w:val="Footer"/>
      </w:pPr>
      <w:r>
        <w:rPr>
          <w:rStyle w:val="FootnoteReference"/>
        </w:rPr>
        <w:footnoteRef/>
      </w:r>
      <w:r>
        <w:t xml:space="preserve"> For the land mobile service, the term high power is defined as assignments using more than 8.3 Watts EIRP and is typically 83 Watts.</w:t>
      </w:r>
    </w:p>
  </w:footnote>
  <w:footnote w:id="2">
    <w:p w14:paraId="3656810E" w14:textId="0D134799" w:rsidR="002B0EBC" w:rsidRDefault="002B0EBC" w:rsidP="00C42A28">
      <w:pPr>
        <w:pStyle w:val="Footer"/>
      </w:pPr>
      <w:r>
        <w:rPr>
          <w:rStyle w:val="FootnoteReference"/>
        </w:rPr>
        <w:footnoteRef/>
      </w:r>
      <w:r>
        <w:t xml:space="preserve"> These areas are defined in the </w:t>
      </w:r>
      <w:hyperlink r:id="rId1" w:history="1">
        <w:r w:rsidRPr="00411A85">
          <w:rPr>
            <w:rStyle w:val="Hyperlink"/>
          </w:rPr>
          <w:t>Apparatus Licence Fee Schedule</w:t>
        </w:r>
      </w:hyperlink>
      <w:r>
        <w:t>.</w:t>
      </w:r>
    </w:p>
  </w:footnote>
  <w:footnote w:id="3">
    <w:p w14:paraId="2FA1D1B9" w14:textId="37AE7A12" w:rsidR="002B0EBC" w:rsidRDefault="002B0EBC" w:rsidP="00C42A28">
      <w:pPr>
        <w:pStyle w:val="Footer"/>
      </w:pPr>
      <w:r>
        <w:rPr>
          <w:rStyle w:val="FootnoteReference"/>
        </w:rPr>
        <w:footnoteRef/>
      </w:r>
      <w:r>
        <w:t xml:space="preserve"> For the land mobile service, the term low power is defined as assignments using 8.3 Watts EIRP or less.</w:t>
      </w:r>
    </w:p>
  </w:footnote>
  <w:footnote w:id="4">
    <w:p w14:paraId="1D068F32" w14:textId="2E035D5A" w:rsidR="002B0EBC" w:rsidRDefault="002B0EBC" w:rsidP="00C42A28">
      <w:pPr>
        <w:pStyle w:val="Footer"/>
      </w:pPr>
      <w:r>
        <w:rPr>
          <w:rStyle w:val="FootnoteReference"/>
        </w:rPr>
        <w:footnoteRef/>
      </w:r>
      <w:r>
        <w:t xml:space="preserve"> Information and contact details are at http://nccgr.govspace.gov.au/.</w:t>
      </w:r>
    </w:p>
  </w:footnote>
  <w:footnote w:id="5">
    <w:p w14:paraId="1FB03B1F" w14:textId="52210888" w:rsidR="002B0EBC" w:rsidRDefault="002B0EBC" w:rsidP="00C42A28">
      <w:pPr>
        <w:pStyle w:val="Footer"/>
      </w:pPr>
      <w:r>
        <w:rPr>
          <w:rStyle w:val="FootnoteReference"/>
        </w:rPr>
        <w:footnoteRef/>
      </w:r>
      <w:r>
        <w:t xml:space="preserve"> Contact details are at http://www.ara.net.au/site/index.php.</w:t>
      </w:r>
    </w:p>
  </w:footnote>
  <w:footnote w:id="6">
    <w:p w14:paraId="4D87B83C" w14:textId="77777777" w:rsidR="002B0EBC" w:rsidRDefault="002B0EBC" w:rsidP="00C42A28">
      <w:pPr>
        <w:pStyle w:val="FootnoteText"/>
        <w:rPr>
          <w:rFonts w:cs="Arial"/>
          <w:lang w:val="en-US"/>
        </w:rPr>
      </w:pPr>
      <w:r>
        <w:rPr>
          <w:rStyle w:val="FootnoteReference"/>
        </w:rPr>
        <w:footnoteRef/>
      </w:r>
      <w:r>
        <w:rPr>
          <w:rFonts w:cs="Arial"/>
        </w:rPr>
        <w:t xml:space="preserve"> </w:t>
      </w:r>
      <w:hyperlink r:id="rId2" w:history="1">
        <w:r>
          <w:rPr>
            <w:rStyle w:val="Hyperlink"/>
          </w:rPr>
          <w:t>https://www.acma.gov.au/managing-spectrum-400-mhz-band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1C4CC" w14:textId="77777777" w:rsidR="002B0EBC" w:rsidRDefault="002B0EBC" w:rsidP="00A07457">
    <w:pPr>
      <w:pStyle w:val="Header"/>
      <w:tabs>
        <w:tab w:val="left" w:pos="1560"/>
      </w:tabs>
    </w:pPr>
    <w:r w:rsidRPr="0049305D">
      <w:rPr>
        <w:noProof/>
      </w:rPr>
      <w:drawing>
        <wp:anchor distT="0" distB="0" distL="114300" distR="114300" simplePos="0" relativeHeight="251659264" behindDoc="1" locked="0" layoutInCell="1" allowOverlap="1" wp14:anchorId="6193E3A0" wp14:editId="63F28172">
          <wp:simplePos x="0" y="0"/>
          <wp:positionH relativeFrom="page">
            <wp:align>right</wp:align>
          </wp:positionH>
          <wp:positionV relativeFrom="paragraph">
            <wp:posOffset>-10160</wp:posOffset>
          </wp:positionV>
          <wp:extent cx="7556500" cy="6477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MA_Logo_RGB_63mmwide.jpg"/>
                  <pic:cNvPicPr/>
                </pic:nvPicPr>
                <pic:blipFill>
                  <a:blip r:embed="rId1">
                    <a:extLst>
                      <a:ext uri="{28A0092B-C50C-407E-A947-70E740481C1C}">
                        <a14:useLocalDpi xmlns:a14="http://schemas.microsoft.com/office/drawing/2010/main" val="0"/>
                      </a:ext>
                    </a:extLst>
                  </a:blip>
                  <a:stretch>
                    <a:fillRect/>
                  </a:stretch>
                </pic:blipFill>
                <pic:spPr>
                  <a:xfrm>
                    <a:off x="0" y="0"/>
                    <a:ext cx="7556500" cy="6477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E37862B" w14:textId="77777777" w:rsidR="002B0EBC" w:rsidRDefault="002B0E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8719A" w14:textId="77777777" w:rsidR="002B0EBC" w:rsidRDefault="002B0E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8C6ADA6"/>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703632DA"/>
    <w:lvl w:ilvl="0">
      <w:start w:val="1"/>
      <w:numFmt w:val="decimal"/>
      <w:pStyle w:val="ListNumber2"/>
      <w:lvlText w:val="%1."/>
      <w:lvlJc w:val="left"/>
      <w:pPr>
        <w:ind w:left="360" w:hanging="360"/>
      </w:pPr>
      <w:rPr>
        <w:rFonts w:hint="default"/>
      </w:rPr>
    </w:lvl>
  </w:abstractNum>
  <w:abstractNum w:abstractNumId="2" w15:restartNumberingAfterBreak="0">
    <w:nsid w:val="FFFFFF83"/>
    <w:multiLevelType w:val="singleLevel"/>
    <w:tmpl w:val="3E303AD8"/>
    <w:lvl w:ilvl="0">
      <w:start w:val="1"/>
      <w:numFmt w:val="bullet"/>
      <w:pStyle w:val="ListBullet2"/>
      <w:lvlText w:val="&gt;"/>
      <w:lvlJc w:val="left"/>
      <w:pPr>
        <w:tabs>
          <w:tab w:val="num" w:pos="845"/>
        </w:tabs>
        <w:ind w:left="845" w:hanging="544"/>
      </w:pPr>
      <w:rPr>
        <w:rFonts w:ascii="HelveticaNeueLT Std Lt" w:hAnsi="HelveticaNeueLT Std Lt" w:hint="default"/>
        <w:sz w:val="20"/>
      </w:rPr>
    </w:lvl>
  </w:abstractNum>
  <w:abstractNum w:abstractNumId="3" w15:restartNumberingAfterBreak="0">
    <w:nsid w:val="FFFFFF88"/>
    <w:multiLevelType w:val="singleLevel"/>
    <w:tmpl w:val="34367B10"/>
    <w:lvl w:ilvl="0">
      <w:start w:val="1"/>
      <w:numFmt w:val="decimal"/>
      <w:pStyle w:val="ListNumber"/>
      <w:lvlText w:val="%1."/>
      <w:lvlJc w:val="left"/>
      <w:pPr>
        <w:ind w:left="360" w:hanging="360"/>
      </w:pPr>
      <w:rPr>
        <w:rFonts w:hint="default"/>
        <w:caps/>
        <w:sz w:val="20"/>
      </w:rPr>
    </w:lvl>
  </w:abstractNum>
  <w:abstractNum w:abstractNumId="4" w15:restartNumberingAfterBreak="0">
    <w:nsid w:val="FFFFFF89"/>
    <w:multiLevelType w:val="singleLevel"/>
    <w:tmpl w:val="8D465DE8"/>
    <w:lvl w:ilvl="0">
      <w:start w:val="1"/>
      <w:numFmt w:val="bullet"/>
      <w:pStyle w:val="ListBullet"/>
      <w:lvlText w:val="&gt;"/>
      <w:lvlJc w:val="left"/>
      <w:pPr>
        <w:tabs>
          <w:tab w:val="num" w:pos="295"/>
        </w:tabs>
        <w:ind w:left="295" w:hanging="295"/>
      </w:pPr>
      <w:rPr>
        <w:rFonts w:ascii="HelveticaNeueLT Std Lt" w:hAnsi="HelveticaNeueLT Std Lt" w:hint="default"/>
        <w:sz w:val="20"/>
      </w:rPr>
    </w:lvl>
  </w:abstractNum>
  <w:abstractNum w:abstractNumId="5" w15:restartNumberingAfterBreak="0">
    <w:nsid w:val="13EE495C"/>
    <w:multiLevelType w:val="hybridMultilevel"/>
    <w:tmpl w:val="1D8498B0"/>
    <w:lvl w:ilvl="0" w:tplc="A332420E">
      <w:start w:val="1"/>
      <w:numFmt w:val="lowerLetter"/>
      <w:pStyle w:val="ACMAletteredlist"/>
      <w:lvlText w:val="%1."/>
      <w:lvlJc w:val="left"/>
      <w:pPr>
        <w:tabs>
          <w:tab w:val="num" w:pos="360"/>
        </w:tabs>
        <w:ind w:left="360" w:hanging="360"/>
      </w:pPr>
      <w:rPr>
        <w:rFonts w:cs="Times New Roman"/>
      </w:rPr>
    </w:lvl>
    <w:lvl w:ilvl="1" w:tplc="8EDAE56E">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16BB2C53"/>
    <w:multiLevelType w:val="hybridMultilevel"/>
    <w:tmpl w:val="405A5006"/>
    <w:lvl w:ilvl="0" w:tplc="E75E7D02">
      <w:start w:val="1"/>
      <w:numFmt w:val="decimal"/>
      <w:lvlText w:val="2.%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8175090"/>
    <w:multiLevelType w:val="hybridMultilevel"/>
    <w:tmpl w:val="F11C82F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8" w15:restartNumberingAfterBreak="0">
    <w:nsid w:val="2F5A5080"/>
    <w:multiLevelType w:val="hybridMultilevel"/>
    <w:tmpl w:val="A3742122"/>
    <w:lvl w:ilvl="0" w:tplc="8A58D030">
      <w:start w:val="1"/>
      <w:numFmt w:val="bullet"/>
      <w:pStyle w:val="ACMABulletLevel1"/>
      <w:lvlText w:val="●"/>
      <w:lvlJc w:val="left"/>
      <w:pPr>
        <w:ind w:left="357" w:hanging="357"/>
      </w:pPr>
      <w:rPr>
        <w:rFonts w:ascii="Times New Roman" w:hAnsi="Times New Roman" w:cs="Times New Roman" w:hint="default"/>
      </w:rPr>
    </w:lvl>
    <w:lvl w:ilvl="1" w:tplc="04090003">
      <w:start w:val="1"/>
      <w:numFmt w:val="bullet"/>
      <w:lvlText w:val="o"/>
      <w:lvlJc w:val="left"/>
      <w:pPr>
        <w:tabs>
          <w:tab w:val="num" w:pos="1728"/>
        </w:tabs>
        <w:ind w:left="1728" w:hanging="360"/>
      </w:pPr>
      <w:rPr>
        <w:rFonts w:ascii="Courier New" w:hAnsi="Courier New" w:cs="Times New Roman"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cs="Times New Roman"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cs="Times New Roman"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9" w15:restartNumberingAfterBreak="0">
    <w:nsid w:val="37086907"/>
    <w:multiLevelType w:val="multilevel"/>
    <w:tmpl w:val="5C382F8A"/>
    <w:lvl w:ilvl="0">
      <w:start w:val="1"/>
      <w:numFmt w:val="decimal"/>
      <w:pStyle w:val="Partheading"/>
      <w:suff w:val="space"/>
      <w:lvlText w:val="Part %1:"/>
      <w:lvlJc w:val="left"/>
      <w:pPr>
        <w:ind w:left="0" w:firstLine="0"/>
      </w:pPr>
      <w:rPr>
        <w:rFonts w:hint="default"/>
      </w:rPr>
    </w:lvl>
    <w:lvl w:ilvl="1">
      <w:start w:val="1"/>
      <w:numFmt w:val="decimal"/>
      <w:pStyle w:val="Numberedhead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1B915F4"/>
    <w:multiLevelType w:val="multilevel"/>
    <w:tmpl w:val="CBBEB100"/>
    <w:lvl w:ilvl="0">
      <w:start w:val="1"/>
      <w:numFmt w:val="decimal"/>
      <w:pStyle w:val="Heading1"/>
      <w:lvlText w:val="%1"/>
      <w:lvlJc w:val="left"/>
      <w:pPr>
        <w:ind w:left="431" w:hanging="43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11" w15:restartNumberingAfterBreak="0">
    <w:nsid w:val="44540D16"/>
    <w:multiLevelType w:val="multilevel"/>
    <w:tmpl w:val="36409D06"/>
    <w:lvl w:ilvl="0">
      <w:start w:val="1"/>
      <w:numFmt w:val="decimal"/>
      <w:pStyle w:val="ACMAChapterHeading"/>
      <w:lvlText w:val="%1"/>
      <w:lvlJc w:val="left"/>
      <w:pPr>
        <w:tabs>
          <w:tab w:val="num" w:pos="592"/>
        </w:tabs>
        <w:ind w:left="592" w:hanging="450"/>
      </w:pPr>
      <w:rPr>
        <w:rFonts w:cs="Times New Roman"/>
        <w:b w:val="0"/>
        <w:sz w:val="56"/>
        <w:szCs w:val="56"/>
      </w:rPr>
    </w:lvl>
    <w:lvl w:ilvl="1">
      <w:start w:val="1"/>
      <w:numFmt w:val="decimal"/>
      <w:pStyle w:val="ACMAHeading1"/>
      <w:lvlText w:val="%1.%2"/>
      <w:lvlJc w:val="left"/>
      <w:pPr>
        <w:tabs>
          <w:tab w:val="num" w:pos="720"/>
        </w:tabs>
        <w:ind w:left="720" w:hanging="720"/>
      </w:pPr>
      <w:rPr>
        <w:rFonts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CMAHeading2"/>
      <w:lvlText w:val="%1.%2.%3"/>
      <w:lvlJc w:val="left"/>
      <w:pPr>
        <w:tabs>
          <w:tab w:val="num" w:pos="720"/>
        </w:tabs>
        <w:ind w:left="720" w:hanging="720"/>
      </w:pPr>
      <w:rPr>
        <w:rFonts w:cs="Times New Roman"/>
      </w:rPr>
    </w:lvl>
    <w:lvl w:ilvl="3">
      <w:start w:val="1"/>
      <w:numFmt w:val="decimal"/>
      <w:lvlText w:val="%1.%2.%3.%4"/>
      <w:lvlJc w:val="left"/>
      <w:pPr>
        <w:tabs>
          <w:tab w:val="num" w:pos="1080"/>
        </w:tabs>
        <w:ind w:left="1080" w:hanging="1080"/>
      </w:pPr>
      <w:rPr>
        <w:rFonts w:cs="Times New Roman"/>
      </w:rPr>
    </w:lvl>
    <w:lvl w:ilvl="4">
      <w:start w:val="1"/>
      <w:numFmt w:val="decimal"/>
      <w:lvlText w:val="%1.%2.%3.%4.%5"/>
      <w:lvlJc w:val="left"/>
      <w:pPr>
        <w:tabs>
          <w:tab w:val="num" w:pos="1440"/>
        </w:tabs>
        <w:ind w:left="1440" w:hanging="1440"/>
      </w:pPr>
      <w:rPr>
        <w:rFonts w:cs="Times New Roman"/>
      </w:rPr>
    </w:lvl>
    <w:lvl w:ilvl="5">
      <w:start w:val="1"/>
      <w:numFmt w:val="decimal"/>
      <w:lvlText w:val="%1.%2.%3.%4.%5.%6"/>
      <w:lvlJc w:val="left"/>
      <w:pPr>
        <w:tabs>
          <w:tab w:val="num" w:pos="1800"/>
        </w:tabs>
        <w:ind w:left="1800" w:hanging="1800"/>
      </w:pPr>
      <w:rPr>
        <w:rFonts w:cs="Times New Roman"/>
      </w:rPr>
    </w:lvl>
    <w:lvl w:ilvl="6">
      <w:start w:val="1"/>
      <w:numFmt w:val="decimal"/>
      <w:lvlText w:val="%1.%2.%3.%4.%5.%6.%7"/>
      <w:lvlJc w:val="left"/>
      <w:pPr>
        <w:tabs>
          <w:tab w:val="num" w:pos="1800"/>
        </w:tabs>
        <w:ind w:left="1800" w:hanging="1800"/>
      </w:pPr>
      <w:rPr>
        <w:rFonts w:cs="Times New Roman"/>
      </w:rPr>
    </w:lvl>
    <w:lvl w:ilvl="7">
      <w:start w:val="1"/>
      <w:numFmt w:val="decimal"/>
      <w:lvlText w:val="%1.%2.%3.%4.%5.%6.%7.%8"/>
      <w:lvlJc w:val="left"/>
      <w:pPr>
        <w:tabs>
          <w:tab w:val="num" w:pos="2160"/>
        </w:tabs>
        <w:ind w:left="2160" w:hanging="2160"/>
      </w:pPr>
      <w:rPr>
        <w:rFonts w:cs="Times New Roman"/>
      </w:rPr>
    </w:lvl>
    <w:lvl w:ilvl="8">
      <w:start w:val="1"/>
      <w:numFmt w:val="decimal"/>
      <w:lvlText w:val="%1.%2.%3.%4.%5.%6.%7.%8.%9"/>
      <w:lvlJc w:val="left"/>
      <w:pPr>
        <w:tabs>
          <w:tab w:val="num" w:pos="2520"/>
        </w:tabs>
        <w:ind w:left="2520" w:hanging="2520"/>
      </w:pPr>
      <w:rPr>
        <w:rFonts w:cs="Times New Roman"/>
      </w:rPr>
    </w:lvl>
  </w:abstractNum>
  <w:abstractNum w:abstractNumId="12" w15:restartNumberingAfterBreak="0">
    <w:nsid w:val="55AA21F0"/>
    <w:multiLevelType w:val="hybridMultilevel"/>
    <w:tmpl w:val="4DDA0712"/>
    <w:lvl w:ilvl="0" w:tplc="59A6BED4">
      <w:start w:val="1"/>
      <w:numFmt w:val="decimal"/>
      <w:pStyle w:val="ACMATableHeader"/>
      <w:lvlText w:val="Table %1"/>
      <w:lvlJc w:val="left"/>
      <w:pPr>
        <w:tabs>
          <w:tab w:val="num" w:pos="964"/>
        </w:tabs>
        <w:ind w:left="964" w:hanging="9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30333"/>
    <w:multiLevelType w:val="hybridMultilevel"/>
    <w:tmpl w:val="A5FC2D54"/>
    <w:lvl w:ilvl="0" w:tplc="65EA47EC">
      <w:start w:val="1"/>
      <w:numFmt w:val="decimal"/>
      <w:pStyle w:val="Captionfigure"/>
      <w:lvlText w:val="Figure %1:"/>
      <w:lvlJc w:val="left"/>
      <w:pPr>
        <w:tabs>
          <w:tab w:val="num" w:pos="1021"/>
        </w:tabs>
        <w:ind w:left="1021" w:hanging="102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071478"/>
    <w:multiLevelType w:val="hybridMultilevel"/>
    <w:tmpl w:val="680E522C"/>
    <w:lvl w:ilvl="0" w:tplc="30580B3C">
      <w:start w:val="1"/>
      <w:numFmt w:val="decimal"/>
      <w:pStyle w:val="ACMAFigureHeader"/>
      <w:lvlText w:val="Figure %1"/>
      <w:lvlJc w:val="left"/>
      <w:pPr>
        <w:tabs>
          <w:tab w:val="num" w:pos="1021"/>
        </w:tabs>
        <w:ind w:left="1021" w:hanging="102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57AE6"/>
    <w:multiLevelType w:val="hybridMultilevel"/>
    <w:tmpl w:val="4BAEE1E2"/>
    <w:lvl w:ilvl="0" w:tplc="0DA4929C">
      <w:start w:val="1"/>
      <w:numFmt w:val="decimal"/>
      <w:pStyle w:val="Caption"/>
      <w:lvlText w:val="Table %1:"/>
      <w:lvlJc w:val="left"/>
      <w:pPr>
        <w:tabs>
          <w:tab w:val="num" w:pos="964"/>
        </w:tabs>
        <w:ind w:left="964" w:hanging="9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14"/>
  </w:num>
  <w:num w:numId="6">
    <w:abstractNumId w:val="12"/>
  </w:num>
  <w:num w:numId="7">
    <w:abstractNumId w:val="13"/>
  </w:num>
  <w:num w:numId="8">
    <w:abstractNumId w:val="15"/>
  </w:num>
  <w:num w:numId="9">
    <w:abstractNumId w:val="9"/>
  </w:num>
  <w:num w:numId="10">
    <w:abstractNumId w:val="6"/>
  </w:num>
  <w:num w:numId="11">
    <w:abstractNumId w:val="1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3"/>
    <w:lvlOverride w:ilvl="0">
      <w:startOverride w:val="1"/>
    </w:lvlOverride>
  </w:num>
  <w:num w:numId="17">
    <w:abstractNumId w:val="3"/>
    <w:lvlOverride w:ilvl="0">
      <w:startOverride w:val="1"/>
    </w:lvlOverride>
  </w:num>
  <w:num w:numId="18">
    <w:abstractNumId w:val="0"/>
  </w:num>
  <w:num w:numId="19">
    <w:abstractNumId w:val="3"/>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revisionView w:inkAnnotations="0"/>
  <w:defaultTabStop w:val="284"/>
  <w:evenAndOddHeaders/>
  <w:drawingGridHorizontalSpacing w:val="100"/>
  <w:displayHorizontalDrawingGridEvery w:val="2"/>
  <w:characterSpacingControl w:val="doNotCompress"/>
  <w:hdrShapeDefaults>
    <o:shapedefaults v:ext="edit" spidmax="20481">
      <o:colormru v:ext="edit" colors="red,#4d4d4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9A7"/>
    <w:rsid w:val="00010667"/>
    <w:rsid w:val="000129D5"/>
    <w:rsid w:val="00015AE7"/>
    <w:rsid w:val="00016E21"/>
    <w:rsid w:val="0001719C"/>
    <w:rsid w:val="0002224E"/>
    <w:rsid w:val="000245E5"/>
    <w:rsid w:val="00026F91"/>
    <w:rsid w:val="0004764C"/>
    <w:rsid w:val="0005011A"/>
    <w:rsid w:val="0005045A"/>
    <w:rsid w:val="00051C1E"/>
    <w:rsid w:val="000539F9"/>
    <w:rsid w:val="00054C27"/>
    <w:rsid w:val="00055EC3"/>
    <w:rsid w:val="000563CE"/>
    <w:rsid w:val="000572FE"/>
    <w:rsid w:val="00063A18"/>
    <w:rsid w:val="00064CAA"/>
    <w:rsid w:val="000659B6"/>
    <w:rsid w:val="0006686F"/>
    <w:rsid w:val="0006722A"/>
    <w:rsid w:val="000732CF"/>
    <w:rsid w:val="00075B96"/>
    <w:rsid w:val="0008196A"/>
    <w:rsid w:val="000915ED"/>
    <w:rsid w:val="0009209D"/>
    <w:rsid w:val="000969BD"/>
    <w:rsid w:val="000969BF"/>
    <w:rsid w:val="00097D72"/>
    <w:rsid w:val="000A0C22"/>
    <w:rsid w:val="000A1400"/>
    <w:rsid w:val="000A3C43"/>
    <w:rsid w:val="000A4A51"/>
    <w:rsid w:val="000A5D2B"/>
    <w:rsid w:val="000B2746"/>
    <w:rsid w:val="000B27C0"/>
    <w:rsid w:val="000B418E"/>
    <w:rsid w:val="000B5DE3"/>
    <w:rsid w:val="000B652B"/>
    <w:rsid w:val="000C0A57"/>
    <w:rsid w:val="000C1A48"/>
    <w:rsid w:val="000C230C"/>
    <w:rsid w:val="000C6AB4"/>
    <w:rsid w:val="000D71D9"/>
    <w:rsid w:val="000D76E0"/>
    <w:rsid w:val="000D7E8B"/>
    <w:rsid w:val="000E4449"/>
    <w:rsid w:val="000E6097"/>
    <w:rsid w:val="00103829"/>
    <w:rsid w:val="00111FCE"/>
    <w:rsid w:val="00116A99"/>
    <w:rsid w:val="00116C56"/>
    <w:rsid w:val="001229A5"/>
    <w:rsid w:val="0012489B"/>
    <w:rsid w:val="00130017"/>
    <w:rsid w:val="00130F91"/>
    <w:rsid w:val="001349ED"/>
    <w:rsid w:val="00137424"/>
    <w:rsid w:val="00140318"/>
    <w:rsid w:val="001405BF"/>
    <w:rsid w:val="00141AD9"/>
    <w:rsid w:val="00146CE6"/>
    <w:rsid w:val="00152903"/>
    <w:rsid w:val="00153FD5"/>
    <w:rsid w:val="0015614F"/>
    <w:rsid w:val="001577C2"/>
    <w:rsid w:val="001633C4"/>
    <w:rsid w:val="00170127"/>
    <w:rsid w:val="001704D5"/>
    <w:rsid w:val="00171591"/>
    <w:rsid w:val="00173981"/>
    <w:rsid w:val="0017719D"/>
    <w:rsid w:val="00183FD7"/>
    <w:rsid w:val="00185CAB"/>
    <w:rsid w:val="001875B7"/>
    <w:rsid w:val="00187CB3"/>
    <w:rsid w:val="0019050A"/>
    <w:rsid w:val="001910D4"/>
    <w:rsid w:val="001976E3"/>
    <w:rsid w:val="001A44EC"/>
    <w:rsid w:val="001B58AA"/>
    <w:rsid w:val="001B7E48"/>
    <w:rsid w:val="001C17CE"/>
    <w:rsid w:val="001C36CA"/>
    <w:rsid w:val="001C44D1"/>
    <w:rsid w:val="001C6AEE"/>
    <w:rsid w:val="001C7630"/>
    <w:rsid w:val="001D6D15"/>
    <w:rsid w:val="001E6386"/>
    <w:rsid w:val="001F0E76"/>
    <w:rsid w:val="001F7558"/>
    <w:rsid w:val="00205B57"/>
    <w:rsid w:val="0021287F"/>
    <w:rsid w:val="00214E72"/>
    <w:rsid w:val="0021500B"/>
    <w:rsid w:val="002157E0"/>
    <w:rsid w:val="00216A57"/>
    <w:rsid w:val="0022334F"/>
    <w:rsid w:val="00226819"/>
    <w:rsid w:val="00233101"/>
    <w:rsid w:val="00233817"/>
    <w:rsid w:val="002367FF"/>
    <w:rsid w:val="00240CE9"/>
    <w:rsid w:val="002434BA"/>
    <w:rsid w:val="00246089"/>
    <w:rsid w:val="00246093"/>
    <w:rsid w:val="00246702"/>
    <w:rsid w:val="00247C59"/>
    <w:rsid w:val="00247F2E"/>
    <w:rsid w:val="00250ADC"/>
    <w:rsid w:val="00250B07"/>
    <w:rsid w:val="00254146"/>
    <w:rsid w:val="00257553"/>
    <w:rsid w:val="00260FB2"/>
    <w:rsid w:val="00262128"/>
    <w:rsid w:val="00270212"/>
    <w:rsid w:val="0027165D"/>
    <w:rsid w:val="00273CEB"/>
    <w:rsid w:val="00281C89"/>
    <w:rsid w:val="0028282F"/>
    <w:rsid w:val="0029593B"/>
    <w:rsid w:val="00297FC5"/>
    <w:rsid w:val="002A0417"/>
    <w:rsid w:val="002A16D8"/>
    <w:rsid w:val="002A1BC8"/>
    <w:rsid w:val="002A3EF2"/>
    <w:rsid w:val="002B0DED"/>
    <w:rsid w:val="002B0EBC"/>
    <w:rsid w:val="002B19A2"/>
    <w:rsid w:val="002B32B1"/>
    <w:rsid w:val="002B381A"/>
    <w:rsid w:val="002B4FCC"/>
    <w:rsid w:val="002B7408"/>
    <w:rsid w:val="002B7CFD"/>
    <w:rsid w:val="002C210F"/>
    <w:rsid w:val="002D34CD"/>
    <w:rsid w:val="002D3600"/>
    <w:rsid w:val="002D7BC7"/>
    <w:rsid w:val="002D7F52"/>
    <w:rsid w:val="002E4DDC"/>
    <w:rsid w:val="002E5BBB"/>
    <w:rsid w:val="002E6D36"/>
    <w:rsid w:val="00302480"/>
    <w:rsid w:val="003165E6"/>
    <w:rsid w:val="00317CE5"/>
    <w:rsid w:val="003215B5"/>
    <w:rsid w:val="003221CF"/>
    <w:rsid w:val="003233ED"/>
    <w:rsid w:val="00324D9F"/>
    <w:rsid w:val="00327948"/>
    <w:rsid w:val="0033000F"/>
    <w:rsid w:val="00330733"/>
    <w:rsid w:val="00332011"/>
    <w:rsid w:val="00332518"/>
    <w:rsid w:val="00332925"/>
    <w:rsid w:val="003332ED"/>
    <w:rsid w:val="0033345E"/>
    <w:rsid w:val="003368DC"/>
    <w:rsid w:val="00345927"/>
    <w:rsid w:val="00350584"/>
    <w:rsid w:val="00351857"/>
    <w:rsid w:val="003545E8"/>
    <w:rsid w:val="003610E1"/>
    <w:rsid w:val="00366071"/>
    <w:rsid w:val="003671BE"/>
    <w:rsid w:val="00371C83"/>
    <w:rsid w:val="00372485"/>
    <w:rsid w:val="00373200"/>
    <w:rsid w:val="00375EF5"/>
    <w:rsid w:val="003767A5"/>
    <w:rsid w:val="00381D15"/>
    <w:rsid w:val="00385254"/>
    <w:rsid w:val="003A04DB"/>
    <w:rsid w:val="003A5F5B"/>
    <w:rsid w:val="003A789A"/>
    <w:rsid w:val="003B12EC"/>
    <w:rsid w:val="003C6FFA"/>
    <w:rsid w:val="003C77E0"/>
    <w:rsid w:val="003D17D7"/>
    <w:rsid w:val="003D2678"/>
    <w:rsid w:val="003D71A3"/>
    <w:rsid w:val="003E2B8A"/>
    <w:rsid w:val="003F10EE"/>
    <w:rsid w:val="003F16F6"/>
    <w:rsid w:val="003F4DC7"/>
    <w:rsid w:val="003F5235"/>
    <w:rsid w:val="00400A67"/>
    <w:rsid w:val="004027E4"/>
    <w:rsid w:val="0040306E"/>
    <w:rsid w:val="0041071D"/>
    <w:rsid w:val="00411A85"/>
    <w:rsid w:val="00414AFC"/>
    <w:rsid w:val="004151A7"/>
    <w:rsid w:val="00415310"/>
    <w:rsid w:val="0041773B"/>
    <w:rsid w:val="00420CAF"/>
    <w:rsid w:val="00421709"/>
    <w:rsid w:val="00423763"/>
    <w:rsid w:val="00425AAF"/>
    <w:rsid w:val="0042762F"/>
    <w:rsid w:val="00427DC7"/>
    <w:rsid w:val="00431613"/>
    <w:rsid w:val="00431792"/>
    <w:rsid w:val="0043297A"/>
    <w:rsid w:val="00432EB2"/>
    <w:rsid w:val="0043714F"/>
    <w:rsid w:val="004438B5"/>
    <w:rsid w:val="00447037"/>
    <w:rsid w:val="0045124D"/>
    <w:rsid w:val="00454596"/>
    <w:rsid w:val="0045605D"/>
    <w:rsid w:val="0046135B"/>
    <w:rsid w:val="00461D47"/>
    <w:rsid w:val="004718CC"/>
    <w:rsid w:val="00481695"/>
    <w:rsid w:val="00495A96"/>
    <w:rsid w:val="00495BB3"/>
    <w:rsid w:val="004A13A7"/>
    <w:rsid w:val="004A56BB"/>
    <w:rsid w:val="004B1751"/>
    <w:rsid w:val="004C0253"/>
    <w:rsid w:val="004D56FF"/>
    <w:rsid w:val="004E012E"/>
    <w:rsid w:val="004E39D3"/>
    <w:rsid w:val="004E508A"/>
    <w:rsid w:val="004E616D"/>
    <w:rsid w:val="004F1BDE"/>
    <w:rsid w:val="004F2CEE"/>
    <w:rsid w:val="004F556E"/>
    <w:rsid w:val="004F591C"/>
    <w:rsid w:val="004F7F44"/>
    <w:rsid w:val="005037B4"/>
    <w:rsid w:val="005079BF"/>
    <w:rsid w:val="0051269A"/>
    <w:rsid w:val="005219E7"/>
    <w:rsid w:val="00521D7D"/>
    <w:rsid w:val="00531B9A"/>
    <w:rsid w:val="00531D15"/>
    <w:rsid w:val="00537604"/>
    <w:rsid w:val="00542377"/>
    <w:rsid w:val="005476EB"/>
    <w:rsid w:val="00551782"/>
    <w:rsid w:val="00563EF1"/>
    <w:rsid w:val="00566AB4"/>
    <w:rsid w:val="00575AC5"/>
    <w:rsid w:val="0057605D"/>
    <w:rsid w:val="005803C2"/>
    <w:rsid w:val="00581347"/>
    <w:rsid w:val="00581AC9"/>
    <w:rsid w:val="005849F8"/>
    <w:rsid w:val="005938DF"/>
    <w:rsid w:val="00594E9C"/>
    <w:rsid w:val="005A099B"/>
    <w:rsid w:val="005A2D9C"/>
    <w:rsid w:val="005A55FE"/>
    <w:rsid w:val="005A6A11"/>
    <w:rsid w:val="005B1735"/>
    <w:rsid w:val="005D13D1"/>
    <w:rsid w:val="005D2502"/>
    <w:rsid w:val="005D40BB"/>
    <w:rsid w:val="005D47F3"/>
    <w:rsid w:val="005D49BF"/>
    <w:rsid w:val="005D4AA5"/>
    <w:rsid w:val="005D6F4E"/>
    <w:rsid w:val="005D7C73"/>
    <w:rsid w:val="005E3ACD"/>
    <w:rsid w:val="005E6094"/>
    <w:rsid w:val="005E7226"/>
    <w:rsid w:val="005E7A57"/>
    <w:rsid w:val="005F24B0"/>
    <w:rsid w:val="00604315"/>
    <w:rsid w:val="00604E26"/>
    <w:rsid w:val="006052CF"/>
    <w:rsid w:val="00607B8D"/>
    <w:rsid w:val="00611F5C"/>
    <w:rsid w:val="00616E09"/>
    <w:rsid w:val="00622A3B"/>
    <w:rsid w:val="00622EEA"/>
    <w:rsid w:val="0062396C"/>
    <w:rsid w:val="00623FF9"/>
    <w:rsid w:val="006257B0"/>
    <w:rsid w:val="00627D4E"/>
    <w:rsid w:val="00632B89"/>
    <w:rsid w:val="00634478"/>
    <w:rsid w:val="00644373"/>
    <w:rsid w:val="00645915"/>
    <w:rsid w:val="006519C3"/>
    <w:rsid w:val="00652B30"/>
    <w:rsid w:val="00656345"/>
    <w:rsid w:val="00656DC6"/>
    <w:rsid w:val="00660EC6"/>
    <w:rsid w:val="00664110"/>
    <w:rsid w:val="00664D17"/>
    <w:rsid w:val="00666520"/>
    <w:rsid w:val="00667C5B"/>
    <w:rsid w:val="00691EB8"/>
    <w:rsid w:val="00692CDE"/>
    <w:rsid w:val="00693073"/>
    <w:rsid w:val="006977FF"/>
    <w:rsid w:val="006A01FA"/>
    <w:rsid w:val="006A0E9E"/>
    <w:rsid w:val="006A25C7"/>
    <w:rsid w:val="006A4AAD"/>
    <w:rsid w:val="006A6DA2"/>
    <w:rsid w:val="006A7AB2"/>
    <w:rsid w:val="006B5717"/>
    <w:rsid w:val="006B582F"/>
    <w:rsid w:val="006B5EB2"/>
    <w:rsid w:val="006C0CEB"/>
    <w:rsid w:val="006C3B1E"/>
    <w:rsid w:val="006C47FD"/>
    <w:rsid w:val="006C5C19"/>
    <w:rsid w:val="006C70A0"/>
    <w:rsid w:val="006D27CB"/>
    <w:rsid w:val="006D2F08"/>
    <w:rsid w:val="006D576C"/>
    <w:rsid w:val="006D5865"/>
    <w:rsid w:val="006E3164"/>
    <w:rsid w:val="006E4694"/>
    <w:rsid w:val="006E4B1B"/>
    <w:rsid w:val="006E5445"/>
    <w:rsid w:val="006E7D93"/>
    <w:rsid w:val="007029A3"/>
    <w:rsid w:val="00706E4E"/>
    <w:rsid w:val="0070791C"/>
    <w:rsid w:val="0071383C"/>
    <w:rsid w:val="007141A7"/>
    <w:rsid w:val="00715722"/>
    <w:rsid w:val="00721032"/>
    <w:rsid w:val="00721B55"/>
    <w:rsid w:val="00726CE4"/>
    <w:rsid w:val="00734143"/>
    <w:rsid w:val="00737E47"/>
    <w:rsid w:val="00740EAC"/>
    <w:rsid w:val="00744956"/>
    <w:rsid w:val="00745A5C"/>
    <w:rsid w:val="0074605F"/>
    <w:rsid w:val="00746A68"/>
    <w:rsid w:val="00747E94"/>
    <w:rsid w:val="00754C83"/>
    <w:rsid w:val="00765DF8"/>
    <w:rsid w:val="00766749"/>
    <w:rsid w:val="00767C1B"/>
    <w:rsid w:val="00767E79"/>
    <w:rsid w:val="007714A9"/>
    <w:rsid w:val="00774F88"/>
    <w:rsid w:val="00774FDB"/>
    <w:rsid w:val="00777BA2"/>
    <w:rsid w:val="00781408"/>
    <w:rsid w:val="00784F7F"/>
    <w:rsid w:val="00785E0F"/>
    <w:rsid w:val="007878BD"/>
    <w:rsid w:val="0079106F"/>
    <w:rsid w:val="00796F25"/>
    <w:rsid w:val="007A2E98"/>
    <w:rsid w:val="007A3BA3"/>
    <w:rsid w:val="007A6CC0"/>
    <w:rsid w:val="007A7FEC"/>
    <w:rsid w:val="007B1499"/>
    <w:rsid w:val="007B1BBF"/>
    <w:rsid w:val="007B2960"/>
    <w:rsid w:val="007B355D"/>
    <w:rsid w:val="007B7980"/>
    <w:rsid w:val="007C0DEF"/>
    <w:rsid w:val="007C5D5A"/>
    <w:rsid w:val="007C607F"/>
    <w:rsid w:val="007C79DD"/>
    <w:rsid w:val="007D1A97"/>
    <w:rsid w:val="007D2CD6"/>
    <w:rsid w:val="007D3063"/>
    <w:rsid w:val="007D3CEB"/>
    <w:rsid w:val="007E7683"/>
    <w:rsid w:val="007F49FA"/>
    <w:rsid w:val="007F54C4"/>
    <w:rsid w:val="007F5F75"/>
    <w:rsid w:val="007F6E9A"/>
    <w:rsid w:val="008044D4"/>
    <w:rsid w:val="00810AB4"/>
    <w:rsid w:val="00817B56"/>
    <w:rsid w:val="00821A88"/>
    <w:rsid w:val="00822B3D"/>
    <w:rsid w:val="0082495D"/>
    <w:rsid w:val="00831AC3"/>
    <w:rsid w:val="008408FF"/>
    <w:rsid w:val="00842CBD"/>
    <w:rsid w:val="00851F3F"/>
    <w:rsid w:val="00856EDC"/>
    <w:rsid w:val="008623B5"/>
    <w:rsid w:val="00870ABA"/>
    <w:rsid w:val="008710E1"/>
    <w:rsid w:val="008716E5"/>
    <w:rsid w:val="00881CA9"/>
    <w:rsid w:val="00883628"/>
    <w:rsid w:val="00885544"/>
    <w:rsid w:val="0088634E"/>
    <w:rsid w:val="00893AB8"/>
    <w:rsid w:val="00895B8D"/>
    <w:rsid w:val="00897518"/>
    <w:rsid w:val="008A04C8"/>
    <w:rsid w:val="008A39A7"/>
    <w:rsid w:val="008A6913"/>
    <w:rsid w:val="008B70F3"/>
    <w:rsid w:val="008B71C4"/>
    <w:rsid w:val="008B76DF"/>
    <w:rsid w:val="008C10F4"/>
    <w:rsid w:val="008C3D36"/>
    <w:rsid w:val="008C65F7"/>
    <w:rsid w:val="008D6BD1"/>
    <w:rsid w:val="008E4767"/>
    <w:rsid w:val="008E7A8C"/>
    <w:rsid w:val="008F7E36"/>
    <w:rsid w:val="00903285"/>
    <w:rsid w:val="00906F40"/>
    <w:rsid w:val="0090731E"/>
    <w:rsid w:val="00915B1C"/>
    <w:rsid w:val="009174F3"/>
    <w:rsid w:val="0091797D"/>
    <w:rsid w:val="00923CBA"/>
    <w:rsid w:val="00923D7A"/>
    <w:rsid w:val="00926703"/>
    <w:rsid w:val="00927691"/>
    <w:rsid w:val="00927A5F"/>
    <w:rsid w:val="00935B63"/>
    <w:rsid w:val="0094078F"/>
    <w:rsid w:val="00940FA3"/>
    <w:rsid w:val="00941FB0"/>
    <w:rsid w:val="009426D4"/>
    <w:rsid w:val="00947F25"/>
    <w:rsid w:val="00950159"/>
    <w:rsid w:val="0095490B"/>
    <w:rsid w:val="00960A33"/>
    <w:rsid w:val="00971914"/>
    <w:rsid w:val="00974363"/>
    <w:rsid w:val="00981898"/>
    <w:rsid w:val="00992EA4"/>
    <w:rsid w:val="0099577C"/>
    <w:rsid w:val="009B17F4"/>
    <w:rsid w:val="009B2601"/>
    <w:rsid w:val="009B4E9E"/>
    <w:rsid w:val="009C1690"/>
    <w:rsid w:val="009C1E9F"/>
    <w:rsid w:val="009C41ED"/>
    <w:rsid w:val="009C6881"/>
    <w:rsid w:val="009C7759"/>
    <w:rsid w:val="009D043D"/>
    <w:rsid w:val="009D07C8"/>
    <w:rsid w:val="009D69A5"/>
    <w:rsid w:val="009D6C71"/>
    <w:rsid w:val="009E0631"/>
    <w:rsid w:val="009E16D0"/>
    <w:rsid w:val="009E38FD"/>
    <w:rsid w:val="009E6ED1"/>
    <w:rsid w:val="009F13D6"/>
    <w:rsid w:val="009F4C6B"/>
    <w:rsid w:val="009F5B80"/>
    <w:rsid w:val="009F78A8"/>
    <w:rsid w:val="00A02AD6"/>
    <w:rsid w:val="00A07096"/>
    <w:rsid w:val="00A07318"/>
    <w:rsid w:val="00A07457"/>
    <w:rsid w:val="00A11370"/>
    <w:rsid w:val="00A1481A"/>
    <w:rsid w:val="00A220C5"/>
    <w:rsid w:val="00A224CE"/>
    <w:rsid w:val="00A22522"/>
    <w:rsid w:val="00A24AFD"/>
    <w:rsid w:val="00A24F5C"/>
    <w:rsid w:val="00A32F96"/>
    <w:rsid w:val="00A40871"/>
    <w:rsid w:val="00A412AB"/>
    <w:rsid w:val="00A4193E"/>
    <w:rsid w:val="00A440E0"/>
    <w:rsid w:val="00A442EF"/>
    <w:rsid w:val="00A47355"/>
    <w:rsid w:val="00A47699"/>
    <w:rsid w:val="00A51D1A"/>
    <w:rsid w:val="00A5418D"/>
    <w:rsid w:val="00A5474E"/>
    <w:rsid w:val="00A57337"/>
    <w:rsid w:val="00A64234"/>
    <w:rsid w:val="00A70ADF"/>
    <w:rsid w:val="00A71466"/>
    <w:rsid w:val="00A74B5E"/>
    <w:rsid w:val="00A771E3"/>
    <w:rsid w:val="00A81BED"/>
    <w:rsid w:val="00A81EC4"/>
    <w:rsid w:val="00A81F83"/>
    <w:rsid w:val="00A967FD"/>
    <w:rsid w:val="00A9764C"/>
    <w:rsid w:val="00AA2DE5"/>
    <w:rsid w:val="00AA7E93"/>
    <w:rsid w:val="00AB156C"/>
    <w:rsid w:val="00AB25AD"/>
    <w:rsid w:val="00AB6814"/>
    <w:rsid w:val="00AC04BA"/>
    <w:rsid w:val="00AC0E39"/>
    <w:rsid w:val="00AD3082"/>
    <w:rsid w:val="00AD32B4"/>
    <w:rsid w:val="00AD4AD0"/>
    <w:rsid w:val="00AD5436"/>
    <w:rsid w:val="00AD60CD"/>
    <w:rsid w:val="00AD6C8C"/>
    <w:rsid w:val="00AE091D"/>
    <w:rsid w:val="00AE3B60"/>
    <w:rsid w:val="00AE53A1"/>
    <w:rsid w:val="00AF06C8"/>
    <w:rsid w:val="00AF2484"/>
    <w:rsid w:val="00AF63E7"/>
    <w:rsid w:val="00AF6E17"/>
    <w:rsid w:val="00B0165D"/>
    <w:rsid w:val="00B01B60"/>
    <w:rsid w:val="00B031F3"/>
    <w:rsid w:val="00B052A4"/>
    <w:rsid w:val="00B125DE"/>
    <w:rsid w:val="00B13FDD"/>
    <w:rsid w:val="00B21803"/>
    <w:rsid w:val="00B22EB2"/>
    <w:rsid w:val="00B27442"/>
    <w:rsid w:val="00B31167"/>
    <w:rsid w:val="00B329D8"/>
    <w:rsid w:val="00B32BB9"/>
    <w:rsid w:val="00B33AE1"/>
    <w:rsid w:val="00B37C38"/>
    <w:rsid w:val="00B4288C"/>
    <w:rsid w:val="00B43262"/>
    <w:rsid w:val="00B44100"/>
    <w:rsid w:val="00B46CBA"/>
    <w:rsid w:val="00B46F94"/>
    <w:rsid w:val="00B6003C"/>
    <w:rsid w:val="00B61F03"/>
    <w:rsid w:val="00B626E4"/>
    <w:rsid w:val="00B72F4A"/>
    <w:rsid w:val="00B80433"/>
    <w:rsid w:val="00B83C27"/>
    <w:rsid w:val="00B84BC3"/>
    <w:rsid w:val="00B84BDD"/>
    <w:rsid w:val="00B85B64"/>
    <w:rsid w:val="00B9266A"/>
    <w:rsid w:val="00B92812"/>
    <w:rsid w:val="00B95DA7"/>
    <w:rsid w:val="00BA5A9D"/>
    <w:rsid w:val="00BB45A1"/>
    <w:rsid w:val="00BB7686"/>
    <w:rsid w:val="00BC23F9"/>
    <w:rsid w:val="00BC3421"/>
    <w:rsid w:val="00BC732C"/>
    <w:rsid w:val="00BD4B1B"/>
    <w:rsid w:val="00BE2580"/>
    <w:rsid w:val="00BE266D"/>
    <w:rsid w:val="00BE3938"/>
    <w:rsid w:val="00BE4C11"/>
    <w:rsid w:val="00BE71C0"/>
    <w:rsid w:val="00BF610C"/>
    <w:rsid w:val="00C0060B"/>
    <w:rsid w:val="00C024C3"/>
    <w:rsid w:val="00C0277D"/>
    <w:rsid w:val="00C053A1"/>
    <w:rsid w:val="00C15678"/>
    <w:rsid w:val="00C16198"/>
    <w:rsid w:val="00C2083D"/>
    <w:rsid w:val="00C24A53"/>
    <w:rsid w:val="00C34A05"/>
    <w:rsid w:val="00C4032F"/>
    <w:rsid w:val="00C42A28"/>
    <w:rsid w:val="00C44047"/>
    <w:rsid w:val="00C45155"/>
    <w:rsid w:val="00C52D17"/>
    <w:rsid w:val="00C5498F"/>
    <w:rsid w:val="00C55235"/>
    <w:rsid w:val="00C64CD0"/>
    <w:rsid w:val="00C6684F"/>
    <w:rsid w:val="00C70E70"/>
    <w:rsid w:val="00C75F8D"/>
    <w:rsid w:val="00C77380"/>
    <w:rsid w:val="00C866CF"/>
    <w:rsid w:val="00C87159"/>
    <w:rsid w:val="00C97736"/>
    <w:rsid w:val="00CA345A"/>
    <w:rsid w:val="00CB1E82"/>
    <w:rsid w:val="00CB4BA8"/>
    <w:rsid w:val="00CB52D7"/>
    <w:rsid w:val="00CC189F"/>
    <w:rsid w:val="00CC6732"/>
    <w:rsid w:val="00CE3C96"/>
    <w:rsid w:val="00CE513D"/>
    <w:rsid w:val="00CE51A8"/>
    <w:rsid w:val="00CF369B"/>
    <w:rsid w:val="00D00E28"/>
    <w:rsid w:val="00D0269E"/>
    <w:rsid w:val="00D05D6C"/>
    <w:rsid w:val="00D15810"/>
    <w:rsid w:val="00D16D4E"/>
    <w:rsid w:val="00D16FE3"/>
    <w:rsid w:val="00D2150E"/>
    <w:rsid w:val="00D27F41"/>
    <w:rsid w:val="00D337EE"/>
    <w:rsid w:val="00D36441"/>
    <w:rsid w:val="00D4064E"/>
    <w:rsid w:val="00D44E9B"/>
    <w:rsid w:val="00D47AEB"/>
    <w:rsid w:val="00D50DB9"/>
    <w:rsid w:val="00D51302"/>
    <w:rsid w:val="00D52C43"/>
    <w:rsid w:val="00D6507F"/>
    <w:rsid w:val="00D730BC"/>
    <w:rsid w:val="00D73912"/>
    <w:rsid w:val="00D85226"/>
    <w:rsid w:val="00D87B94"/>
    <w:rsid w:val="00D92D49"/>
    <w:rsid w:val="00D92EC1"/>
    <w:rsid w:val="00D96DEA"/>
    <w:rsid w:val="00DA4E41"/>
    <w:rsid w:val="00DB117A"/>
    <w:rsid w:val="00DB5173"/>
    <w:rsid w:val="00DB7873"/>
    <w:rsid w:val="00DC187B"/>
    <w:rsid w:val="00DD1A43"/>
    <w:rsid w:val="00DD73C2"/>
    <w:rsid w:val="00DE319B"/>
    <w:rsid w:val="00DF34FE"/>
    <w:rsid w:val="00DF56AA"/>
    <w:rsid w:val="00DF56AF"/>
    <w:rsid w:val="00DF78E7"/>
    <w:rsid w:val="00E05B94"/>
    <w:rsid w:val="00E110E0"/>
    <w:rsid w:val="00E15371"/>
    <w:rsid w:val="00E21061"/>
    <w:rsid w:val="00E24104"/>
    <w:rsid w:val="00E302D0"/>
    <w:rsid w:val="00E35707"/>
    <w:rsid w:val="00E36AA1"/>
    <w:rsid w:val="00E36E80"/>
    <w:rsid w:val="00E41ECB"/>
    <w:rsid w:val="00E545C3"/>
    <w:rsid w:val="00E54FDB"/>
    <w:rsid w:val="00E5617D"/>
    <w:rsid w:val="00E563D7"/>
    <w:rsid w:val="00E663F4"/>
    <w:rsid w:val="00E666F2"/>
    <w:rsid w:val="00E66DD4"/>
    <w:rsid w:val="00E748CC"/>
    <w:rsid w:val="00E75415"/>
    <w:rsid w:val="00E76F53"/>
    <w:rsid w:val="00E775B1"/>
    <w:rsid w:val="00E8152A"/>
    <w:rsid w:val="00E821E7"/>
    <w:rsid w:val="00E900AB"/>
    <w:rsid w:val="00E900AF"/>
    <w:rsid w:val="00E93629"/>
    <w:rsid w:val="00E93B5C"/>
    <w:rsid w:val="00E94CEC"/>
    <w:rsid w:val="00EA04EF"/>
    <w:rsid w:val="00EA6F19"/>
    <w:rsid w:val="00EB1F8D"/>
    <w:rsid w:val="00EB7090"/>
    <w:rsid w:val="00EC1BBE"/>
    <w:rsid w:val="00EC32AE"/>
    <w:rsid w:val="00EC5CD7"/>
    <w:rsid w:val="00ED17ED"/>
    <w:rsid w:val="00EE5FB3"/>
    <w:rsid w:val="00EE7F79"/>
    <w:rsid w:val="00EF715A"/>
    <w:rsid w:val="00EF73FF"/>
    <w:rsid w:val="00F012AE"/>
    <w:rsid w:val="00F01345"/>
    <w:rsid w:val="00F031E8"/>
    <w:rsid w:val="00F06E14"/>
    <w:rsid w:val="00F1517E"/>
    <w:rsid w:val="00F179D4"/>
    <w:rsid w:val="00F33C56"/>
    <w:rsid w:val="00F347C7"/>
    <w:rsid w:val="00F34848"/>
    <w:rsid w:val="00F42D46"/>
    <w:rsid w:val="00F4496C"/>
    <w:rsid w:val="00F44F3A"/>
    <w:rsid w:val="00F46F02"/>
    <w:rsid w:val="00F51F10"/>
    <w:rsid w:val="00F529A5"/>
    <w:rsid w:val="00F57373"/>
    <w:rsid w:val="00F60F00"/>
    <w:rsid w:val="00F614C0"/>
    <w:rsid w:val="00F83848"/>
    <w:rsid w:val="00F86AC8"/>
    <w:rsid w:val="00F975E9"/>
    <w:rsid w:val="00FA1B7D"/>
    <w:rsid w:val="00FC07B9"/>
    <w:rsid w:val="00FC4E21"/>
    <w:rsid w:val="00FC5F6D"/>
    <w:rsid w:val="00FD0107"/>
    <w:rsid w:val="00FD1033"/>
    <w:rsid w:val="00FD2C2F"/>
    <w:rsid w:val="00FD35F4"/>
    <w:rsid w:val="00FD3B31"/>
    <w:rsid w:val="00FE1823"/>
    <w:rsid w:val="00FE487A"/>
    <w:rsid w:val="00FE679D"/>
    <w:rsid w:val="00FF0569"/>
    <w:rsid w:val="00FF206E"/>
    <w:rsid w:val="00FF22A6"/>
    <w:rsid w:val="00FF3C69"/>
    <w:rsid w:val="00FF6E0A"/>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colormru v:ext="edit" colors="red,#4d4d4f"/>
    </o:shapedefaults>
    <o:shapelayout v:ext="edit">
      <o:idmap v:ext="edit" data="1"/>
    </o:shapelayout>
  </w:shapeDefaults>
  <w:decimalSymbol w:val="."/>
  <w:listSeparator w:val=","/>
  <w14:docId w14:val="57E6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B27C0"/>
    <w:pPr>
      <w:spacing w:after="240" w:line="240" w:lineRule="atLeast"/>
    </w:pPr>
    <w:rPr>
      <w:rFonts w:ascii="Arial" w:hAnsi="Arial"/>
      <w:sz w:val="22"/>
    </w:rPr>
  </w:style>
  <w:style w:type="paragraph" w:styleId="Heading1">
    <w:name w:val="heading 1"/>
    <w:basedOn w:val="Normal"/>
    <w:next w:val="Normal"/>
    <w:link w:val="Heading1Char"/>
    <w:qFormat/>
    <w:rsid w:val="00923D7A"/>
    <w:pPr>
      <w:keepNext/>
      <w:pageBreakBefore/>
      <w:widowControl w:val="0"/>
      <w:numPr>
        <w:numId w:val="11"/>
      </w:numPr>
      <w:spacing w:after="360" w:line="550" w:lineRule="exact"/>
      <w:outlineLvl w:val="0"/>
    </w:pPr>
    <w:rPr>
      <w:rFonts w:cs="Arial"/>
      <w:bCs/>
      <w:color w:val="323232"/>
      <w:kern w:val="32"/>
      <w:sz w:val="44"/>
      <w:szCs w:val="32"/>
    </w:rPr>
  </w:style>
  <w:style w:type="paragraph" w:styleId="Heading2">
    <w:name w:val="heading 2"/>
    <w:basedOn w:val="Normal"/>
    <w:next w:val="Normal"/>
    <w:link w:val="Heading2Char"/>
    <w:qFormat/>
    <w:rsid w:val="00254146"/>
    <w:pPr>
      <w:keepNext/>
      <w:numPr>
        <w:ilvl w:val="1"/>
        <w:numId w:val="11"/>
      </w:numPr>
      <w:spacing w:before="320" w:after="60"/>
      <w:ind w:left="680" w:hanging="680"/>
      <w:outlineLvl w:val="1"/>
    </w:pPr>
    <w:rPr>
      <w:rFonts w:cs="Arial"/>
      <w:b/>
      <w:bCs/>
      <w:iCs/>
      <w:sz w:val="28"/>
      <w:szCs w:val="28"/>
    </w:rPr>
  </w:style>
  <w:style w:type="paragraph" w:styleId="Heading3">
    <w:name w:val="heading 3"/>
    <w:basedOn w:val="Normal"/>
    <w:next w:val="Normal"/>
    <w:link w:val="Heading3Char"/>
    <w:qFormat/>
    <w:rsid w:val="00254146"/>
    <w:pPr>
      <w:keepNext/>
      <w:numPr>
        <w:ilvl w:val="2"/>
        <w:numId w:val="11"/>
      </w:numPr>
      <w:spacing w:before="60" w:after="60"/>
      <w:ind w:left="680" w:hanging="680"/>
      <w:outlineLvl w:val="2"/>
    </w:pPr>
    <w:rPr>
      <w:rFonts w:cs="Arial"/>
      <w:b/>
      <w:bCs/>
      <w:szCs w:val="26"/>
    </w:rPr>
  </w:style>
  <w:style w:type="paragraph" w:styleId="Heading4">
    <w:name w:val="heading 4"/>
    <w:basedOn w:val="Normal"/>
    <w:next w:val="Normal"/>
    <w:link w:val="Heading4Char"/>
    <w:semiHidden/>
    <w:qFormat/>
    <w:rsid w:val="00AD5436"/>
    <w:pPr>
      <w:keepNext/>
      <w:numPr>
        <w:ilvl w:val="3"/>
        <w:numId w:val="1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semiHidden/>
    <w:qFormat/>
    <w:rsid w:val="00AD5436"/>
    <w:pPr>
      <w:numPr>
        <w:ilvl w:val="4"/>
        <w:numId w:val="11"/>
      </w:numPr>
      <w:spacing w:before="240" w:after="60"/>
      <w:outlineLvl w:val="4"/>
    </w:pPr>
    <w:rPr>
      <w:b/>
      <w:bCs/>
      <w:i/>
      <w:iCs/>
      <w:sz w:val="26"/>
      <w:szCs w:val="26"/>
    </w:rPr>
  </w:style>
  <w:style w:type="paragraph" w:styleId="Heading6">
    <w:name w:val="heading 6"/>
    <w:basedOn w:val="Normal"/>
    <w:next w:val="Normal"/>
    <w:link w:val="Heading6Char"/>
    <w:semiHidden/>
    <w:qFormat/>
    <w:rsid w:val="00AD5436"/>
    <w:pPr>
      <w:numPr>
        <w:ilvl w:val="5"/>
        <w:numId w:val="11"/>
      </w:numPr>
      <w:spacing w:before="240" w:after="60"/>
      <w:outlineLvl w:val="5"/>
    </w:pPr>
    <w:rPr>
      <w:rFonts w:ascii="Times New Roman" w:hAnsi="Times New Roman"/>
      <w:b/>
      <w:bCs/>
      <w:szCs w:val="22"/>
    </w:rPr>
  </w:style>
  <w:style w:type="paragraph" w:styleId="Heading7">
    <w:name w:val="heading 7"/>
    <w:basedOn w:val="Normal"/>
    <w:next w:val="Normal"/>
    <w:link w:val="Heading7Char"/>
    <w:semiHidden/>
    <w:qFormat/>
    <w:rsid w:val="00AD5436"/>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semiHidden/>
    <w:qFormat/>
    <w:rsid w:val="00AD5436"/>
    <w:pPr>
      <w:numPr>
        <w:ilvl w:val="7"/>
        <w:numId w:val="11"/>
      </w:numPr>
      <w:spacing w:before="240" w:after="60"/>
      <w:outlineLvl w:val="7"/>
    </w:pPr>
    <w:rPr>
      <w:rFonts w:ascii="Times New Roman" w:hAnsi="Times New Roman"/>
      <w:i/>
      <w:iCs/>
    </w:rPr>
  </w:style>
  <w:style w:type="paragraph" w:styleId="Heading9">
    <w:name w:val="heading 9"/>
    <w:basedOn w:val="Normal"/>
    <w:next w:val="Normal"/>
    <w:link w:val="Heading9Char"/>
    <w:semiHidden/>
    <w:qFormat/>
    <w:rsid w:val="00AD5436"/>
    <w:pPr>
      <w:numPr>
        <w:ilvl w:val="8"/>
        <w:numId w:val="1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E93"/>
    <w:rPr>
      <w:rFonts w:ascii="Arial" w:hAnsi="Arial" w:cs="Arial"/>
      <w:bCs/>
      <w:color w:val="323232"/>
      <w:kern w:val="32"/>
      <w:sz w:val="44"/>
      <w:szCs w:val="32"/>
    </w:rPr>
  </w:style>
  <w:style w:type="character" w:customStyle="1" w:styleId="Heading2Char">
    <w:name w:val="Heading 2 Char"/>
    <w:basedOn w:val="DefaultParagraphFont"/>
    <w:link w:val="Heading2"/>
    <w:rsid w:val="00AA7E93"/>
    <w:rPr>
      <w:rFonts w:ascii="Arial" w:hAnsi="Arial" w:cs="Arial"/>
      <w:b/>
      <w:bCs/>
      <w:iCs/>
      <w:sz w:val="28"/>
      <w:szCs w:val="28"/>
    </w:rPr>
  </w:style>
  <w:style w:type="character" w:customStyle="1" w:styleId="Heading3Char">
    <w:name w:val="Heading 3 Char"/>
    <w:basedOn w:val="DefaultParagraphFont"/>
    <w:link w:val="Heading3"/>
    <w:rsid w:val="00AA7E93"/>
    <w:rPr>
      <w:rFonts w:ascii="Arial" w:hAnsi="Arial" w:cs="Arial"/>
      <w:b/>
      <w:bCs/>
      <w:sz w:val="22"/>
      <w:szCs w:val="26"/>
    </w:rPr>
  </w:style>
  <w:style w:type="character" w:customStyle="1" w:styleId="Heading4Char">
    <w:name w:val="Heading 4 Char"/>
    <w:basedOn w:val="DefaultParagraphFont"/>
    <w:link w:val="Heading4"/>
    <w:semiHidden/>
    <w:rsid w:val="00AA7E93"/>
    <w:rPr>
      <w:b/>
      <w:bCs/>
      <w:sz w:val="28"/>
      <w:szCs w:val="28"/>
    </w:rPr>
  </w:style>
  <w:style w:type="character" w:customStyle="1" w:styleId="Heading5Char">
    <w:name w:val="Heading 5 Char"/>
    <w:basedOn w:val="DefaultParagraphFont"/>
    <w:link w:val="Heading5"/>
    <w:semiHidden/>
    <w:rsid w:val="00AA7E93"/>
    <w:rPr>
      <w:rFonts w:ascii="Arial" w:hAnsi="Arial"/>
      <w:b/>
      <w:bCs/>
      <w:i/>
      <w:iCs/>
      <w:sz w:val="26"/>
      <w:szCs w:val="26"/>
    </w:rPr>
  </w:style>
  <w:style w:type="character" w:customStyle="1" w:styleId="Heading6Char">
    <w:name w:val="Heading 6 Char"/>
    <w:basedOn w:val="DefaultParagraphFont"/>
    <w:link w:val="Heading6"/>
    <w:semiHidden/>
    <w:rsid w:val="00AA7E93"/>
    <w:rPr>
      <w:b/>
      <w:bCs/>
      <w:sz w:val="22"/>
      <w:szCs w:val="22"/>
    </w:rPr>
  </w:style>
  <w:style w:type="character" w:customStyle="1" w:styleId="Heading7Char">
    <w:name w:val="Heading 7 Char"/>
    <w:basedOn w:val="DefaultParagraphFont"/>
    <w:link w:val="Heading7"/>
    <w:semiHidden/>
    <w:rsid w:val="00AA7E93"/>
    <w:rPr>
      <w:sz w:val="22"/>
    </w:rPr>
  </w:style>
  <w:style w:type="character" w:customStyle="1" w:styleId="Heading8Char">
    <w:name w:val="Heading 8 Char"/>
    <w:basedOn w:val="DefaultParagraphFont"/>
    <w:link w:val="Heading8"/>
    <w:semiHidden/>
    <w:rsid w:val="00AA7E93"/>
    <w:rPr>
      <w:i/>
      <w:iCs/>
      <w:sz w:val="22"/>
    </w:rPr>
  </w:style>
  <w:style w:type="character" w:customStyle="1" w:styleId="Heading9Char">
    <w:name w:val="Heading 9 Char"/>
    <w:basedOn w:val="DefaultParagraphFont"/>
    <w:link w:val="Heading9"/>
    <w:semiHidden/>
    <w:rsid w:val="00AA7E93"/>
    <w:rPr>
      <w:rFonts w:ascii="Arial" w:hAnsi="Arial" w:cs="Arial"/>
      <w:sz w:val="22"/>
      <w:szCs w:val="22"/>
    </w:rPr>
  </w:style>
  <w:style w:type="paragraph" w:styleId="Header">
    <w:name w:val="header"/>
    <w:basedOn w:val="Normal"/>
    <w:link w:val="HeaderChar"/>
    <w:rsid w:val="0070791C"/>
    <w:pPr>
      <w:tabs>
        <w:tab w:val="center" w:pos="4153"/>
        <w:tab w:val="right" w:pos="8306"/>
      </w:tabs>
      <w:spacing w:line="240" w:lineRule="auto"/>
    </w:pPr>
    <w:rPr>
      <w:sz w:val="16"/>
    </w:rPr>
  </w:style>
  <w:style w:type="character" w:customStyle="1" w:styleId="HeaderChar">
    <w:name w:val="Header Char"/>
    <w:link w:val="Header"/>
    <w:rsid w:val="00971914"/>
    <w:rPr>
      <w:rFonts w:ascii="Arial" w:hAnsi="Arial"/>
      <w:sz w:val="16"/>
    </w:rPr>
  </w:style>
  <w:style w:type="paragraph" w:styleId="Footer">
    <w:name w:val="footer"/>
    <w:basedOn w:val="Normal"/>
    <w:link w:val="FooterChar"/>
    <w:qFormat/>
    <w:rsid w:val="0094078F"/>
    <w:pPr>
      <w:tabs>
        <w:tab w:val="right" w:pos="113"/>
      </w:tabs>
      <w:spacing w:line="240" w:lineRule="auto"/>
    </w:pPr>
    <w:rPr>
      <w:color w:val="323232"/>
      <w:sz w:val="16"/>
    </w:rPr>
  </w:style>
  <w:style w:type="character" w:customStyle="1" w:styleId="FooterChar">
    <w:name w:val="Footer Char"/>
    <w:basedOn w:val="DefaultParagraphFont"/>
    <w:link w:val="Footer"/>
    <w:rsid w:val="0094078F"/>
    <w:rPr>
      <w:rFonts w:ascii="Arial" w:hAnsi="Arial"/>
      <w:color w:val="323232"/>
      <w:sz w:val="16"/>
    </w:rPr>
  </w:style>
  <w:style w:type="paragraph" w:customStyle="1" w:styleId="ACMAReportTitle">
    <w:name w:val="ACMA_ReportTitle"/>
    <w:basedOn w:val="Normal"/>
    <w:qFormat/>
    <w:rsid w:val="00A51D1A"/>
    <w:pPr>
      <w:spacing w:after="0" w:line="560" w:lineRule="exact"/>
    </w:pPr>
    <w:rPr>
      <w:b/>
      <w:spacing w:val="-28"/>
      <w:sz w:val="53"/>
    </w:rPr>
  </w:style>
  <w:style w:type="paragraph" w:customStyle="1" w:styleId="ACMAReportSubTitle">
    <w:name w:val="ACMA_ReportSubTitle"/>
    <w:basedOn w:val="Normal"/>
    <w:qFormat/>
    <w:rsid w:val="00950159"/>
    <w:pPr>
      <w:spacing w:after="200" w:line="560" w:lineRule="exact"/>
    </w:pPr>
    <w:rPr>
      <w:color w:val="323232"/>
      <w:spacing w:val="-28"/>
      <w:sz w:val="53"/>
    </w:rPr>
  </w:style>
  <w:style w:type="table" w:styleId="TableGrid">
    <w:name w:val="Table Grid"/>
    <w:basedOn w:val="TableNormal"/>
    <w:rsid w:val="00226819"/>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AReportDate">
    <w:name w:val="ACMA_ReportDate"/>
    <w:basedOn w:val="ACMAReportSubTitle"/>
    <w:qFormat/>
    <w:rsid w:val="00063A18"/>
    <w:pPr>
      <w:spacing w:after="120" w:line="240" w:lineRule="auto"/>
    </w:pPr>
    <w:rPr>
      <w:caps/>
      <w:spacing w:val="-10"/>
      <w:sz w:val="20"/>
    </w:rPr>
  </w:style>
  <w:style w:type="paragraph" w:customStyle="1" w:styleId="TableHeading">
    <w:name w:val="Table Heading"/>
    <w:basedOn w:val="Normal"/>
    <w:qFormat/>
    <w:rsid w:val="00774FDB"/>
    <w:pPr>
      <w:spacing w:after="0"/>
    </w:pPr>
    <w:rPr>
      <w:b/>
    </w:rPr>
  </w:style>
  <w:style w:type="paragraph" w:customStyle="1" w:styleId="PageNumber">
    <w:name w:val="PageNumber"/>
    <w:basedOn w:val="Normal"/>
    <w:semiHidden/>
    <w:rsid w:val="0070791C"/>
    <w:pPr>
      <w:spacing w:line="240" w:lineRule="auto"/>
    </w:pPr>
    <w:rPr>
      <w:sz w:val="16"/>
    </w:rPr>
  </w:style>
  <w:style w:type="paragraph" w:customStyle="1" w:styleId="Copyright">
    <w:name w:val="Copyright"/>
    <w:basedOn w:val="Normal"/>
    <w:semiHidden/>
    <w:rsid w:val="00454596"/>
    <w:pPr>
      <w:spacing w:line="160" w:lineRule="exact"/>
    </w:pPr>
    <w:rPr>
      <w:color w:val="4D4D4F"/>
      <w:sz w:val="13"/>
    </w:rPr>
  </w:style>
  <w:style w:type="paragraph" w:styleId="TOCHeading">
    <w:name w:val="TOC Heading"/>
    <w:basedOn w:val="Normal"/>
    <w:qFormat/>
    <w:rsid w:val="00950159"/>
    <w:pPr>
      <w:spacing w:before="1200" w:line="240" w:lineRule="auto"/>
    </w:pPr>
    <w:rPr>
      <w:b/>
      <w:color w:val="323232"/>
      <w:spacing w:val="-28"/>
      <w:sz w:val="53"/>
    </w:rPr>
  </w:style>
  <w:style w:type="paragraph" w:styleId="Caption">
    <w:name w:val="caption"/>
    <w:aliases w:val="Caption table"/>
    <w:basedOn w:val="Normal"/>
    <w:next w:val="Normal"/>
    <w:qFormat/>
    <w:rsid w:val="00E8152A"/>
    <w:pPr>
      <w:numPr>
        <w:numId w:val="8"/>
      </w:numPr>
      <w:spacing w:after="0"/>
    </w:pPr>
    <w:rPr>
      <w:b/>
      <w:bCs/>
      <w:color w:val="323232"/>
      <w:szCs w:val="20"/>
    </w:rPr>
  </w:style>
  <w:style w:type="paragraph" w:customStyle="1" w:styleId="BodySubHeader">
    <w:name w:val="BodySubHeader"/>
    <w:basedOn w:val="Normal"/>
    <w:next w:val="Normal"/>
    <w:qFormat/>
    <w:rsid w:val="00146CE6"/>
    <w:pPr>
      <w:spacing w:before="240" w:after="0"/>
    </w:pPr>
    <w:rPr>
      <w:b/>
      <w:i/>
    </w:rPr>
  </w:style>
  <w:style w:type="paragraph" w:styleId="ListBullet">
    <w:name w:val="List Bullet"/>
    <w:basedOn w:val="Normal"/>
    <w:qFormat/>
    <w:rsid w:val="001C6AEE"/>
    <w:pPr>
      <w:numPr>
        <w:numId w:val="1"/>
      </w:numPr>
      <w:spacing w:after="80"/>
    </w:pPr>
  </w:style>
  <w:style w:type="paragraph" w:styleId="ListBullet2">
    <w:name w:val="List Bullet 2"/>
    <w:basedOn w:val="Normal"/>
    <w:qFormat/>
    <w:rsid w:val="001C6AEE"/>
    <w:pPr>
      <w:numPr>
        <w:numId w:val="2"/>
      </w:numPr>
      <w:spacing w:after="80"/>
    </w:pPr>
  </w:style>
  <w:style w:type="paragraph" w:styleId="ListNumber">
    <w:name w:val="List Number"/>
    <w:basedOn w:val="Normal"/>
    <w:qFormat/>
    <w:rsid w:val="00C24A53"/>
    <w:pPr>
      <w:numPr>
        <w:numId w:val="3"/>
      </w:numPr>
      <w:spacing w:after="80"/>
    </w:pPr>
  </w:style>
  <w:style w:type="paragraph" w:styleId="ListNumber2">
    <w:name w:val="List Number 2"/>
    <w:basedOn w:val="Normal"/>
    <w:qFormat/>
    <w:rsid w:val="00247C59"/>
    <w:pPr>
      <w:numPr>
        <w:numId w:val="4"/>
      </w:numPr>
      <w:spacing w:after="80"/>
      <w:ind w:left="845" w:hanging="544"/>
    </w:pPr>
  </w:style>
  <w:style w:type="paragraph" w:customStyle="1" w:styleId="URLEmail">
    <w:name w:val="URL/Email"/>
    <w:basedOn w:val="Normal"/>
    <w:semiHidden/>
    <w:rsid w:val="00302480"/>
    <w:rPr>
      <w:color w:val="4D4D4F"/>
      <w:spacing w:val="4"/>
    </w:rPr>
  </w:style>
  <w:style w:type="paragraph" w:customStyle="1" w:styleId="ACMAExecSummaryHeading">
    <w:name w:val="ACMA_ExecSummaryHeading"/>
    <w:basedOn w:val="Normal"/>
    <w:qFormat/>
    <w:rsid w:val="00950159"/>
    <w:pPr>
      <w:spacing w:after="1440" w:line="550" w:lineRule="exact"/>
    </w:pPr>
    <w:rPr>
      <w:b/>
      <w:color w:val="323232"/>
      <w:spacing w:val="-18"/>
      <w:sz w:val="53"/>
    </w:rPr>
  </w:style>
  <w:style w:type="character" w:styleId="PageNumber0">
    <w:name w:val="page number"/>
    <w:basedOn w:val="DefaultParagraphFont"/>
    <w:semiHidden/>
    <w:rsid w:val="00542377"/>
  </w:style>
  <w:style w:type="paragraph" w:styleId="BalloonText">
    <w:name w:val="Balloon Text"/>
    <w:basedOn w:val="Normal"/>
    <w:link w:val="BalloonTextChar"/>
    <w:semiHidden/>
    <w:rsid w:val="009F4C6B"/>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A6DA2"/>
    <w:rPr>
      <w:rFonts w:ascii="Tahoma" w:hAnsi="Tahoma" w:cs="Tahoma"/>
      <w:sz w:val="16"/>
      <w:szCs w:val="16"/>
    </w:rPr>
  </w:style>
  <w:style w:type="paragraph" w:styleId="TOC1">
    <w:name w:val="toc 1"/>
    <w:basedOn w:val="Normal"/>
    <w:next w:val="Normal"/>
    <w:uiPriority w:val="39"/>
    <w:qFormat/>
    <w:rsid w:val="007A6CC0"/>
    <w:pPr>
      <w:tabs>
        <w:tab w:val="right" w:pos="7660"/>
      </w:tabs>
      <w:spacing w:before="280" w:after="80" w:line="320" w:lineRule="exact"/>
      <w:ind w:right="851"/>
    </w:pPr>
    <w:rPr>
      <w:b/>
      <w:noProof/>
      <w:spacing w:val="-14"/>
      <w:sz w:val="28"/>
    </w:rPr>
  </w:style>
  <w:style w:type="paragraph" w:styleId="TOC2">
    <w:name w:val="toc 2"/>
    <w:basedOn w:val="Normal"/>
    <w:next w:val="Normal"/>
    <w:uiPriority w:val="39"/>
    <w:qFormat/>
    <w:rsid w:val="007A6CC0"/>
    <w:pPr>
      <w:tabs>
        <w:tab w:val="right" w:pos="7660"/>
      </w:tabs>
      <w:spacing w:after="80" w:line="300" w:lineRule="exact"/>
      <w:ind w:left="885" w:hanging="885"/>
    </w:pPr>
    <w:rPr>
      <w:noProof/>
      <w:spacing w:val="-14"/>
      <w:sz w:val="26"/>
      <w:szCs w:val="26"/>
    </w:rPr>
  </w:style>
  <w:style w:type="paragraph" w:styleId="TableofFigures">
    <w:name w:val="table of figures"/>
    <w:basedOn w:val="Normal"/>
    <w:next w:val="Normal"/>
    <w:semiHidden/>
    <w:rsid w:val="00AD3082"/>
    <w:pPr>
      <w:tabs>
        <w:tab w:val="right" w:pos="7615"/>
      </w:tabs>
      <w:spacing w:line="320" w:lineRule="exact"/>
    </w:pPr>
    <w:rPr>
      <w:noProof/>
      <w:color w:val="808285"/>
      <w:sz w:val="28"/>
    </w:rPr>
  </w:style>
  <w:style w:type="paragraph" w:styleId="TOC3">
    <w:name w:val="toc 3"/>
    <w:basedOn w:val="Normal"/>
    <w:next w:val="Normal"/>
    <w:uiPriority w:val="39"/>
    <w:qFormat/>
    <w:rsid w:val="007A6CC0"/>
    <w:pPr>
      <w:tabs>
        <w:tab w:val="right" w:pos="7661"/>
      </w:tabs>
      <w:spacing w:after="80" w:line="240" w:lineRule="auto"/>
    </w:pPr>
    <w:rPr>
      <w:noProof/>
      <w:szCs w:val="22"/>
    </w:rPr>
  </w:style>
  <w:style w:type="character" w:styleId="Hyperlink">
    <w:name w:val="Hyperlink"/>
    <w:basedOn w:val="DefaultParagraphFont"/>
    <w:uiPriority w:val="99"/>
    <w:qFormat/>
    <w:rsid w:val="003A5F5B"/>
    <w:rPr>
      <w:color w:val="0000FF"/>
      <w:u w:val="single"/>
    </w:rPr>
  </w:style>
  <w:style w:type="character" w:styleId="FootnoteReference">
    <w:name w:val="footnote reference"/>
    <w:aliases w:val="Appel note de bas de p,Appel note de bas de p + 11 pt,Italic,Footnote"/>
    <w:basedOn w:val="DefaultParagraphFont"/>
    <w:uiPriority w:val="99"/>
    <w:semiHidden/>
    <w:rsid w:val="00566AB4"/>
    <w:rPr>
      <w:rFonts w:ascii="Arial" w:hAnsi="Arial"/>
      <w:vertAlign w:val="superscript"/>
    </w:rPr>
  </w:style>
  <w:style w:type="paragraph" w:styleId="FootnoteText">
    <w:name w:val="footnote text"/>
    <w:aliases w:val="ACMA Footnote Text,Footnote Text Char Char,Footnote Text Char1 Char Char,Footnote Text Char Char Char Char,Footnote Text Char1 Char Char Char Char,Footnote Text Char Char Char Char Char Char,f"/>
    <w:basedOn w:val="Normal"/>
    <w:link w:val="FootnoteTextChar"/>
    <w:semiHidden/>
    <w:rsid w:val="00566AB4"/>
    <w:rPr>
      <w:sz w:val="16"/>
      <w:szCs w:val="16"/>
    </w:rPr>
  </w:style>
  <w:style w:type="character" w:customStyle="1" w:styleId="FootnoteTextChar">
    <w:name w:val="Footnote Text Char"/>
    <w:aliases w:val="ACMA Footnote Text Char,Footnote Text Char Char Char,Footnote Text Char1 Char Char Char,Footnote Text Char Char Char Char Char,Footnote Text Char1 Char Char Char Char Char,Footnote Text Char Char Char Char Char Char Char,f Char"/>
    <w:basedOn w:val="DefaultParagraphFont"/>
    <w:link w:val="FootnoteText"/>
    <w:semiHidden/>
    <w:rsid w:val="00330733"/>
    <w:rPr>
      <w:rFonts w:ascii="Arial" w:hAnsi="Arial"/>
      <w:sz w:val="16"/>
      <w:szCs w:val="16"/>
    </w:rPr>
  </w:style>
  <w:style w:type="paragraph" w:customStyle="1" w:styleId="TableBody">
    <w:name w:val="Table Body"/>
    <w:basedOn w:val="Normal"/>
    <w:qFormat/>
    <w:rsid w:val="00774FDB"/>
    <w:pPr>
      <w:spacing w:after="0" w:line="240" w:lineRule="auto"/>
    </w:pPr>
  </w:style>
  <w:style w:type="character" w:styleId="CommentReference">
    <w:name w:val="annotation reference"/>
    <w:basedOn w:val="DefaultParagraphFont"/>
    <w:semiHidden/>
    <w:rsid w:val="00EE7F79"/>
    <w:rPr>
      <w:sz w:val="16"/>
      <w:szCs w:val="16"/>
    </w:rPr>
  </w:style>
  <w:style w:type="paragraph" w:styleId="CommentText">
    <w:name w:val="annotation text"/>
    <w:basedOn w:val="Normal"/>
    <w:link w:val="CommentTextChar"/>
    <w:semiHidden/>
    <w:rsid w:val="00EE7F79"/>
    <w:pPr>
      <w:spacing w:line="240" w:lineRule="auto"/>
    </w:pPr>
    <w:rPr>
      <w:szCs w:val="20"/>
    </w:rPr>
  </w:style>
  <w:style w:type="character" w:customStyle="1" w:styleId="CommentTextChar">
    <w:name w:val="Comment Text Char"/>
    <w:basedOn w:val="DefaultParagraphFont"/>
    <w:link w:val="CommentText"/>
    <w:semiHidden/>
    <w:rsid w:val="00EE7F79"/>
    <w:rPr>
      <w:rFonts w:ascii="Arial" w:hAnsi="Arial"/>
    </w:rPr>
  </w:style>
  <w:style w:type="paragraph" w:styleId="CommentSubject">
    <w:name w:val="annotation subject"/>
    <w:basedOn w:val="CommentText"/>
    <w:next w:val="CommentText"/>
    <w:link w:val="CommentSubjectChar"/>
    <w:semiHidden/>
    <w:rsid w:val="00EE7F79"/>
    <w:rPr>
      <w:b/>
      <w:bCs/>
    </w:rPr>
  </w:style>
  <w:style w:type="character" w:customStyle="1" w:styleId="CommentSubjectChar">
    <w:name w:val="Comment Subject Char"/>
    <w:basedOn w:val="CommentTextChar"/>
    <w:link w:val="CommentSubject"/>
    <w:semiHidden/>
    <w:rsid w:val="00EE7F79"/>
    <w:rPr>
      <w:rFonts w:ascii="Arial" w:hAnsi="Arial"/>
      <w:b/>
      <w:bCs/>
    </w:rPr>
  </w:style>
  <w:style w:type="character" w:styleId="FollowedHyperlink">
    <w:name w:val="FollowedHyperlink"/>
    <w:basedOn w:val="DefaultParagraphFont"/>
    <w:uiPriority w:val="99"/>
    <w:semiHidden/>
    <w:rsid w:val="00F60F00"/>
    <w:rPr>
      <w:color w:val="800080" w:themeColor="followedHyperlink"/>
      <w:u w:val="single"/>
    </w:rPr>
  </w:style>
  <w:style w:type="character" w:styleId="PlaceholderText">
    <w:name w:val="Placeholder Text"/>
    <w:basedOn w:val="DefaultParagraphFont"/>
    <w:uiPriority w:val="99"/>
    <w:semiHidden/>
    <w:rsid w:val="00C97736"/>
    <w:rPr>
      <w:color w:val="808080"/>
    </w:rPr>
  </w:style>
  <w:style w:type="paragraph" w:customStyle="1" w:styleId="ACMAInstructions">
    <w:name w:val="ACMA_Instructions"/>
    <w:basedOn w:val="Normal"/>
    <w:qFormat/>
    <w:rsid w:val="00BF610C"/>
    <w:pPr>
      <w:spacing w:after="200"/>
    </w:pPr>
    <w:rPr>
      <w:rFonts w:cs="Arial"/>
      <w:b/>
      <w:vanish/>
    </w:rPr>
  </w:style>
  <w:style w:type="paragraph" w:customStyle="1" w:styleId="CorporateAddresses">
    <w:name w:val="Corporate Addresses"/>
    <w:basedOn w:val="Normal"/>
    <w:semiHidden/>
    <w:rsid w:val="0005011A"/>
    <w:pPr>
      <w:spacing w:line="140" w:lineRule="exact"/>
    </w:pPr>
    <w:rPr>
      <w:color w:val="4D4D4F"/>
      <w:sz w:val="13"/>
    </w:rPr>
  </w:style>
  <w:style w:type="character" w:styleId="Strong">
    <w:name w:val="Strong"/>
    <w:basedOn w:val="DefaultParagraphFont"/>
    <w:semiHidden/>
    <w:qFormat/>
    <w:rsid w:val="0005011A"/>
    <w:rPr>
      <w:b/>
      <w:bCs/>
    </w:rPr>
  </w:style>
  <w:style w:type="paragraph" w:customStyle="1" w:styleId="ACMACorporateAddressHeader">
    <w:name w:val="ACMA_CorporateAddressHeader"/>
    <w:basedOn w:val="Normal"/>
    <w:next w:val="ACMACorporateAddresses"/>
    <w:qFormat/>
    <w:rsid w:val="00FC07B9"/>
    <w:pPr>
      <w:tabs>
        <w:tab w:val="left" w:pos="142"/>
      </w:tabs>
      <w:spacing w:before="240" w:after="0" w:line="140" w:lineRule="exact"/>
    </w:pPr>
    <w:rPr>
      <w:b/>
      <w:sz w:val="13"/>
    </w:rPr>
  </w:style>
  <w:style w:type="paragraph" w:customStyle="1" w:styleId="ACMACorporateAddresses">
    <w:name w:val="ACMA_CorporateAddresses"/>
    <w:basedOn w:val="ACMACorporateAddressHeader"/>
    <w:qFormat/>
    <w:rsid w:val="00FC07B9"/>
    <w:pPr>
      <w:spacing w:before="0" w:after="120"/>
    </w:pPr>
    <w:rPr>
      <w:b w:val="0"/>
    </w:rPr>
  </w:style>
  <w:style w:type="paragraph" w:customStyle="1" w:styleId="ACMACopyrightHeader">
    <w:name w:val="ACMA_CopyrightHeader"/>
    <w:basedOn w:val="ACMACorporateAddressHeader"/>
    <w:qFormat/>
    <w:rsid w:val="00950159"/>
    <w:pPr>
      <w:spacing w:before="3000"/>
    </w:pPr>
  </w:style>
  <w:style w:type="paragraph" w:customStyle="1" w:styleId="ACMACClogo">
    <w:name w:val="ACMA_CClogo"/>
    <w:qFormat/>
    <w:rsid w:val="00623FF9"/>
    <w:pPr>
      <w:spacing w:before="160" w:after="120"/>
    </w:pPr>
    <w:rPr>
      <w:rFonts w:ascii="Arial" w:hAnsi="Arial"/>
      <w:b/>
      <w:sz w:val="13"/>
    </w:rPr>
  </w:style>
  <w:style w:type="paragraph" w:customStyle="1" w:styleId="ListBulletLast">
    <w:name w:val="List Bullet Last"/>
    <w:basedOn w:val="ListBullet"/>
    <w:qFormat/>
    <w:rsid w:val="00146CE6"/>
    <w:pPr>
      <w:spacing w:after="240"/>
    </w:pPr>
    <w:rPr>
      <w:rFonts w:cs="Arial"/>
    </w:rPr>
  </w:style>
  <w:style w:type="paragraph" w:customStyle="1" w:styleId="ListNumberLast">
    <w:name w:val="List Number Last"/>
    <w:basedOn w:val="ListNumber"/>
    <w:qFormat/>
    <w:rsid w:val="00C16198"/>
    <w:pPr>
      <w:spacing w:after="240"/>
      <w:ind w:left="357" w:hanging="357"/>
    </w:pPr>
    <w:rPr>
      <w:rFonts w:cs="Arial"/>
    </w:rPr>
  </w:style>
  <w:style w:type="paragraph" w:customStyle="1" w:styleId="ACMATableHeader">
    <w:name w:val="ACMA_TableHeader"/>
    <w:qFormat/>
    <w:rsid w:val="000B27C0"/>
    <w:pPr>
      <w:numPr>
        <w:numId w:val="6"/>
      </w:numPr>
      <w:spacing w:after="160"/>
    </w:pPr>
    <w:rPr>
      <w:rFonts w:ascii="Arial" w:hAnsi="Arial"/>
      <w:b/>
      <w:bCs/>
      <w:color w:val="323232"/>
      <w:sz w:val="22"/>
      <w:szCs w:val="20"/>
    </w:rPr>
  </w:style>
  <w:style w:type="paragraph" w:customStyle="1" w:styleId="ACMANotes">
    <w:name w:val="ACMA_Notes"/>
    <w:qFormat/>
    <w:rsid w:val="00FF206E"/>
    <w:pPr>
      <w:spacing w:before="80"/>
    </w:pPr>
    <w:rPr>
      <w:rFonts w:ascii="Arial" w:hAnsi="Arial" w:cs="Arial"/>
      <w:i/>
      <w:sz w:val="16"/>
    </w:rPr>
  </w:style>
  <w:style w:type="paragraph" w:customStyle="1" w:styleId="ACMANormalTabbed">
    <w:name w:val="ACMA_NormalTabbed"/>
    <w:basedOn w:val="Normal"/>
    <w:qFormat/>
    <w:rsid w:val="005E7226"/>
    <w:pPr>
      <w:tabs>
        <w:tab w:val="left" w:pos="1134"/>
      </w:tabs>
    </w:pPr>
  </w:style>
  <w:style w:type="character" w:styleId="Emphasis">
    <w:name w:val="Emphasis"/>
    <w:basedOn w:val="DefaultParagraphFont"/>
    <w:qFormat/>
    <w:rsid w:val="006D576C"/>
    <w:rPr>
      <w:i/>
      <w:iCs/>
    </w:rPr>
  </w:style>
  <w:style w:type="paragraph" w:customStyle="1" w:styleId="ListNumber2Last">
    <w:name w:val="List Number 2 Last"/>
    <w:basedOn w:val="ListNumber2"/>
    <w:qFormat/>
    <w:rsid w:val="00E35707"/>
    <w:pPr>
      <w:spacing w:after="240"/>
      <w:ind w:left="907"/>
    </w:pPr>
    <w:rPr>
      <w:rFonts w:cs="Arial"/>
    </w:rPr>
  </w:style>
  <w:style w:type="paragraph" w:customStyle="1" w:styleId="ACMASpaceaftertable">
    <w:name w:val="ACMA_Space after table"/>
    <w:basedOn w:val="Normal"/>
    <w:qFormat/>
    <w:rsid w:val="00C2083D"/>
    <w:rPr>
      <w:rFonts w:cs="Arial"/>
    </w:rPr>
  </w:style>
  <w:style w:type="paragraph" w:customStyle="1" w:styleId="FooterLeft">
    <w:name w:val="Footer Left"/>
    <w:basedOn w:val="Footer"/>
    <w:qFormat/>
    <w:rsid w:val="00950159"/>
    <w:pPr>
      <w:framePr w:w="1440" w:h="357" w:hRule="exact" w:vSpace="425" w:wrap="around" w:vAnchor="page" w:hAnchor="page" w:x="935" w:y="15871"/>
      <w:pBdr>
        <w:top w:val="single" w:sz="4" w:space="1" w:color="auto"/>
      </w:pBdr>
    </w:pPr>
    <w:rPr>
      <w:rFonts w:cs="Arial"/>
    </w:rPr>
  </w:style>
  <w:style w:type="paragraph" w:customStyle="1" w:styleId="ACMAFigureHeader">
    <w:name w:val="ACMA_FigureHeader"/>
    <w:qFormat/>
    <w:rsid w:val="000B27C0"/>
    <w:pPr>
      <w:numPr>
        <w:numId w:val="5"/>
      </w:numPr>
      <w:spacing w:after="160"/>
    </w:pPr>
    <w:rPr>
      <w:rFonts w:ascii="Arial" w:hAnsi="Arial"/>
      <w:b/>
      <w:bCs/>
      <w:color w:val="323232"/>
      <w:sz w:val="22"/>
      <w:szCs w:val="20"/>
    </w:rPr>
  </w:style>
  <w:style w:type="paragraph" w:customStyle="1" w:styleId="Captionfigure">
    <w:name w:val="Caption figure"/>
    <w:basedOn w:val="Caption"/>
    <w:qFormat/>
    <w:rsid w:val="00E8152A"/>
    <w:pPr>
      <w:keepNext/>
      <w:numPr>
        <w:numId w:val="7"/>
      </w:numPr>
    </w:pPr>
    <w:rPr>
      <w:rFonts w:cs="Arial"/>
    </w:rPr>
  </w:style>
  <w:style w:type="paragraph" w:customStyle="1" w:styleId="GridTable31">
    <w:name w:val="Grid Table 31"/>
    <w:basedOn w:val="Normal"/>
    <w:qFormat/>
    <w:rsid w:val="00971914"/>
    <w:pPr>
      <w:spacing w:after="0" w:line="240" w:lineRule="auto"/>
    </w:pPr>
    <w:rPr>
      <w:b/>
      <w:color w:val="4D4D4F"/>
      <w:spacing w:val="-28"/>
      <w:sz w:val="53"/>
    </w:rPr>
  </w:style>
  <w:style w:type="paragraph" w:customStyle="1" w:styleId="Partheading">
    <w:name w:val="Part heading"/>
    <w:basedOn w:val="Heading1"/>
    <w:qFormat/>
    <w:rsid w:val="00FD1033"/>
    <w:pPr>
      <w:numPr>
        <w:numId w:val="9"/>
      </w:numPr>
    </w:pPr>
  </w:style>
  <w:style w:type="paragraph" w:customStyle="1" w:styleId="Numberedheading">
    <w:name w:val="Numbered heading"/>
    <w:basedOn w:val="Heading2"/>
    <w:qFormat/>
    <w:rsid w:val="00FD1033"/>
    <w:pPr>
      <w:numPr>
        <w:numId w:val="9"/>
      </w:numPr>
    </w:pPr>
  </w:style>
  <w:style w:type="paragraph" w:customStyle="1" w:styleId="Heading2noTOC">
    <w:name w:val="Heading 2 no TOC"/>
    <w:qFormat/>
    <w:rsid w:val="00EF73FF"/>
    <w:rPr>
      <w:rFonts w:ascii="Arial" w:hAnsi="Arial" w:cs="Arial"/>
      <w:b/>
      <w:bCs/>
      <w:iCs/>
      <w:sz w:val="28"/>
      <w:szCs w:val="28"/>
    </w:rPr>
  </w:style>
  <w:style w:type="paragraph" w:styleId="ListParagraph">
    <w:name w:val="List Paragraph"/>
    <w:basedOn w:val="Normal"/>
    <w:qFormat/>
    <w:rsid w:val="00366071"/>
    <w:pPr>
      <w:ind w:left="720"/>
      <w:contextualSpacing/>
    </w:pPr>
  </w:style>
  <w:style w:type="character" w:styleId="UnresolvedMention">
    <w:name w:val="Unresolved Mention"/>
    <w:basedOn w:val="DefaultParagraphFont"/>
    <w:uiPriority w:val="99"/>
    <w:semiHidden/>
    <w:unhideWhenUsed/>
    <w:rsid w:val="00746A68"/>
    <w:rPr>
      <w:color w:val="605E5C"/>
      <w:shd w:val="clear" w:color="auto" w:fill="E1DFDD"/>
    </w:rPr>
  </w:style>
  <w:style w:type="character" w:customStyle="1" w:styleId="EndnoteTextChar">
    <w:name w:val="Endnote Text Char"/>
    <w:basedOn w:val="DefaultParagraphFont"/>
    <w:link w:val="EndnoteText"/>
    <w:semiHidden/>
    <w:rsid w:val="00AA7E93"/>
    <w:rPr>
      <w:sz w:val="20"/>
      <w:szCs w:val="20"/>
      <w:lang w:val="en-GB"/>
    </w:rPr>
  </w:style>
  <w:style w:type="paragraph" w:styleId="EndnoteText">
    <w:name w:val="endnote text"/>
    <w:basedOn w:val="Normal"/>
    <w:link w:val="EndnoteTextChar"/>
    <w:semiHidden/>
    <w:unhideWhenUsed/>
    <w:rsid w:val="00AA7E93"/>
    <w:pPr>
      <w:widowControl w:val="0"/>
      <w:spacing w:after="120" w:line="240" w:lineRule="auto"/>
    </w:pPr>
    <w:rPr>
      <w:rFonts w:ascii="Times New Roman" w:hAnsi="Times New Roman"/>
      <w:sz w:val="20"/>
      <w:szCs w:val="20"/>
      <w:lang w:val="en-GB"/>
    </w:rPr>
  </w:style>
  <w:style w:type="paragraph" w:styleId="Title">
    <w:name w:val="Title"/>
    <w:basedOn w:val="Normal"/>
    <w:next w:val="Normal"/>
    <w:link w:val="TitleChar"/>
    <w:qFormat/>
    <w:rsid w:val="00AA7E93"/>
    <w:pPr>
      <w:widowControl w:val="0"/>
      <w:spacing w:before="240" w:after="60" w:line="240" w:lineRule="auto"/>
      <w:jc w:val="center"/>
      <w:outlineLvl w:val="0"/>
    </w:pPr>
    <w:rPr>
      <w:rFonts w:ascii="Cambria" w:hAnsi="Cambria"/>
      <w:b/>
      <w:bCs/>
      <w:kern w:val="28"/>
      <w:sz w:val="32"/>
      <w:szCs w:val="32"/>
      <w:lang w:val="en-GB"/>
    </w:rPr>
  </w:style>
  <w:style w:type="character" w:customStyle="1" w:styleId="TitleChar">
    <w:name w:val="Title Char"/>
    <w:basedOn w:val="DefaultParagraphFont"/>
    <w:link w:val="Title"/>
    <w:rsid w:val="00AA7E93"/>
    <w:rPr>
      <w:rFonts w:ascii="Cambria" w:hAnsi="Cambria"/>
      <w:b/>
      <w:bCs/>
      <w:kern w:val="28"/>
      <w:sz w:val="32"/>
      <w:szCs w:val="32"/>
      <w:lang w:val="en-GB"/>
    </w:rPr>
  </w:style>
  <w:style w:type="character" w:customStyle="1" w:styleId="ACMABodyTextChar1">
    <w:name w:val="ACMA Body Text Char1"/>
    <w:basedOn w:val="DefaultParagraphFont"/>
    <w:link w:val="ACMABodyText"/>
    <w:locked/>
    <w:rsid w:val="00AA7E93"/>
    <w:rPr>
      <w:szCs w:val="20"/>
    </w:rPr>
  </w:style>
  <w:style w:type="paragraph" w:customStyle="1" w:styleId="ACMABodyText">
    <w:name w:val="ACMA Body Text"/>
    <w:link w:val="ACMABodyTextChar1"/>
    <w:rsid w:val="00AA7E93"/>
    <w:pPr>
      <w:suppressAutoHyphens/>
      <w:spacing w:before="80" w:after="120" w:line="280" w:lineRule="atLeast"/>
    </w:pPr>
    <w:rPr>
      <w:szCs w:val="20"/>
    </w:rPr>
  </w:style>
  <w:style w:type="paragraph" w:customStyle="1" w:styleId="ACMAChapterHeading">
    <w:name w:val="ACMA Chapter Heading"/>
    <w:next w:val="ACMABodyText"/>
    <w:rsid w:val="00AA7E93"/>
    <w:pPr>
      <w:keepNext/>
      <w:numPr>
        <w:numId w:val="12"/>
      </w:numPr>
      <w:suppressAutoHyphens/>
      <w:spacing w:before="2160" w:after="480"/>
      <w:outlineLvl w:val="0"/>
    </w:pPr>
    <w:rPr>
      <w:sz w:val="56"/>
      <w:szCs w:val="56"/>
      <w:lang w:eastAsia="en-US"/>
    </w:rPr>
  </w:style>
  <w:style w:type="paragraph" w:customStyle="1" w:styleId="ACMAHeading1">
    <w:name w:val="ACMA Heading 1"/>
    <w:next w:val="ACMABodyText"/>
    <w:rsid w:val="00AA7E93"/>
    <w:pPr>
      <w:keepNext/>
      <w:numPr>
        <w:ilvl w:val="1"/>
        <w:numId w:val="12"/>
      </w:numPr>
      <w:suppressAutoHyphens/>
      <w:spacing w:before="320"/>
      <w:outlineLvl w:val="1"/>
    </w:pPr>
    <w:rPr>
      <w:rFonts w:ascii="Arial" w:hAnsi="Arial"/>
      <w:b/>
      <w:sz w:val="32"/>
      <w:szCs w:val="32"/>
      <w:lang w:val="en-US" w:eastAsia="en-US"/>
    </w:rPr>
  </w:style>
  <w:style w:type="paragraph" w:customStyle="1" w:styleId="ACMAHeading2">
    <w:name w:val="ACMA Heading 2"/>
    <w:next w:val="ACMABodyText"/>
    <w:rsid w:val="00AA7E93"/>
    <w:pPr>
      <w:keepNext/>
      <w:numPr>
        <w:ilvl w:val="2"/>
        <w:numId w:val="12"/>
      </w:numPr>
      <w:suppressAutoHyphens/>
      <w:spacing w:before="240"/>
      <w:outlineLvl w:val="2"/>
    </w:pPr>
    <w:rPr>
      <w:rFonts w:ascii="Arial" w:hAnsi="Arial"/>
      <w:b/>
      <w:caps/>
      <w:sz w:val="26"/>
      <w:szCs w:val="26"/>
      <w:lang w:val="en-US" w:eastAsia="en-US"/>
    </w:rPr>
  </w:style>
  <w:style w:type="character" w:customStyle="1" w:styleId="ACMAHeading3Char">
    <w:name w:val="ACMA Heading 3 Char"/>
    <w:basedOn w:val="DefaultParagraphFont"/>
    <w:link w:val="ACMAHeading3"/>
    <w:locked/>
    <w:rsid w:val="00AA7E93"/>
    <w:rPr>
      <w:rFonts w:ascii="Arial" w:hAnsi="Arial"/>
      <w:b/>
      <w:szCs w:val="20"/>
      <w:lang w:val="en-US"/>
    </w:rPr>
  </w:style>
  <w:style w:type="paragraph" w:customStyle="1" w:styleId="ACMAHeading3">
    <w:name w:val="ACMA Heading 3"/>
    <w:next w:val="ACMABodyText"/>
    <w:link w:val="ACMAHeading3Char"/>
    <w:rsid w:val="00AA7E93"/>
    <w:pPr>
      <w:keepNext/>
      <w:suppressAutoHyphens/>
      <w:spacing w:before="240"/>
      <w:outlineLvl w:val="3"/>
    </w:pPr>
    <w:rPr>
      <w:rFonts w:ascii="Arial" w:hAnsi="Arial"/>
      <w:b/>
      <w:szCs w:val="20"/>
      <w:lang w:val="en-US"/>
    </w:rPr>
  </w:style>
  <w:style w:type="character" w:customStyle="1" w:styleId="ACMABulletLevel1CharChar">
    <w:name w:val="ACMA Bullet Level 1 Char Char"/>
    <w:basedOn w:val="DefaultParagraphFont"/>
    <w:link w:val="ACMABulletLevel1"/>
    <w:locked/>
    <w:rsid w:val="00AA7E93"/>
  </w:style>
  <w:style w:type="paragraph" w:customStyle="1" w:styleId="ACMABulletLevel1">
    <w:name w:val="ACMA Bullet Level 1"/>
    <w:link w:val="ACMABulletLevel1CharChar"/>
    <w:rsid w:val="00AA7E93"/>
    <w:pPr>
      <w:numPr>
        <w:numId w:val="13"/>
      </w:numPr>
      <w:tabs>
        <w:tab w:val="num" w:pos="-31680"/>
      </w:tabs>
      <w:spacing w:after="120"/>
    </w:pPr>
  </w:style>
  <w:style w:type="paragraph" w:customStyle="1" w:styleId="ACMAletteredlist">
    <w:name w:val="ACMA lettered list"/>
    <w:rsid w:val="00AA7E93"/>
    <w:pPr>
      <w:numPr>
        <w:numId w:val="14"/>
      </w:numPr>
      <w:spacing w:before="20" w:after="20"/>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2014">
      <w:bodyDiv w:val="1"/>
      <w:marLeft w:val="0"/>
      <w:marRight w:val="0"/>
      <w:marTop w:val="0"/>
      <w:marBottom w:val="0"/>
      <w:divBdr>
        <w:top w:val="none" w:sz="0" w:space="0" w:color="auto"/>
        <w:left w:val="none" w:sz="0" w:space="0" w:color="auto"/>
        <w:bottom w:val="none" w:sz="0" w:space="0" w:color="auto"/>
        <w:right w:val="none" w:sz="0" w:space="0" w:color="auto"/>
      </w:divBdr>
    </w:div>
    <w:div w:id="244146877">
      <w:bodyDiv w:val="1"/>
      <w:marLeft w:val="0"/>
      <w:marRight w:val="0"/>
      <w:marTop w:val="0"/>
      <w:marBottom w:val="0"/>
      <w:divBdr>
        <w:top w:val="none" w:sz="0" w:space="0" w:color="auto"/>
        <w:left w:val="none" w:sz="0" w:space="0" w:color="auto"/>
        <w:bottom w:val="none" w:sz="0" w:space="0" w:color="auto"/>
        <w:right w:val="none" w:sz="0" w:space="0" w:color="auto"/>
      </w:divBdr>
    </w:div>
    <w:div w:id="298612020">
      <w:bodyDiv w:val="1"/>
      <w:marLeft w:val="0"/>
      <w:marRight w:val="0"/>
      <w:marTop w:val="0"/>
      <w:marBottom w:val="0"/>
      <w:divBdr>
        <w:top w:val="none" w:sz="0" w:space="0" w:color="auto"/>
        <w:left w:val="none" w:sz="0" w:space="0" w:color="auto"/>
        <w:bottom w:val="none" w:sz="0" w:space="0" w:color="auto"/>
        <w:right w:val="none" w:sz="0" w:space="0" w:color="auto"/>
      </w:divBdr>
    </w:div>
    <w:div w:id="405299772">
      <w:bodyDiv w:val="1"/>
      <w:marLeft w:val="0"/>
      <w:marRight w:val="0"/>
      <w:marTop w:val="0"/>
      <w:marBottom w:val="0"/>
      <w:divBdr>
        <w:top w:val="none" w:sz="0" w:space="0" w:color="auto"/>
        <w:left w:val="none" w:sz="0" w:space="0" w:color="auto"/>
        <w:bottom w:val="none" w:sz="0" w:space="0" w:color="auto"/>
        <w:right w:val="none" w:sz="0" w:space="0" w:color="auto"/>
      </w:divBdr>
    </w:div>
    <w:div w:id="882669866">
      <w:bodyDiv w:val="1"/>
      <w:marLeft w:val="0"/>
      <w:marRight w:val="0"/>
      <w:marTop w:val="0"/>
      <w:marBottom w:val="0"/>
      <w:divBdr>
        <w:top w:val="none" w:sz="0" w:space="0" w:color="auto"/>
        <w:left w:val="none" w:sz="0" w:space="0" w:color="auto"/>
        <w:bottom w:val="none" w:sz="0" w:space="0" w:color="auto"/>
        <w:right w:val="none" w:sz="0" w:space="0" w:color="auto"/>
      </w:divBdr>
    </w:div>
    <w:div w:id="1424688863">
      <w:bodyDiv w:val="1"/>
      <w:marLeft w:val="0"/>
      <w:marRight w:val="0"/>
      <w:marTop w:val="0"/>
      <w:marBottom w:val="0"/>
      <w:divBdr>
        <w:top w:val="none" w:sz="0" w:space="0" w:color="auto"/>
        <w:left w:val="none" w:sz="0" w:space="0" w:color="auto"/>
        <w:bottom w:val="none" w:sz="0" w:space="0" w:color="auto"/>
        <w:right w:val="none" w:sz="0" w:space="0" w:color="auto"/>
      </w:divBdr>
    </w:div>
    <w:div w:id="1566910818">
      <w:bodyDiv w:val="1"/>
      <w:marLeft w:val="0"/>
      <w:marRight w:val="0"/>
      <w:marTop w:val="0"/>
      <w:marBottom w:val="0"/>
      <w:divBdr>
        <w:top w:val="none" w:sz="0" w:space="0" w:color="auto"/>
        <w:left w:val="none" w:sz="0" w:space="0" w:color="auto"/>
        <w:bottom w:val="none" w:sz="0" w:space="0" w:color="auto"/>
        <w:right w:val="none" w:sz="0" w:space="0" w:color="auto"/>
      </w:divBdr>
    </w:div>
    <w:div w:id="1758207867">
      <w:bodyDiv w:val="1"/>
      <w:marLeft w:val="0"/>
      <w:marRight w:val="0"/>
      <w:marTop w:val="0"/>
      <w:marBottom w:val="0"/>
      <w:divBdr>
        <w:top w:val="none" w:sz="0" w:space="0" w:color="auto"/>
        <w:left w:val="none" w:sz="0" w:space="0" w:color="auto"/>
        <w:bottom w:val="none" w:sz="0" w:space="0" w:color="auto"/>
        <w:right w:val="none" w:sz="0" w:space="0" w:color="auto"/>
      </w:divBdr>
    </w:div>
    <w:div w:id="1775515923">
      <w:bodyDiv w:val="1"/>
      <w:marLeft w:val="0"/>
      <w:marRight w:val="0"/>
      <w:marTop w:val="0"/>
      <w:marBottom w:val="0"/>
      <w:divBdr>
        <w:top w:val="none" w:sz="0" w:space="0" w:color="auto"/>
        <w:left w:val="none" w:sz="0" w:space="0" w:color="auto"/>
        <w:bottom w:val="none" w:sz="0" w:space="0" w:color="auto"/>
        <w:right w:val="none" w:sz="0" w:space="0" w:color="auto"/>
      </w:divBdr>
    </w:div>
    <w:div w:id="1847940425">
      <w:bodyDiv w:val="1"/>
      <w:marLeft w:val="0"/>
      <w:marRight w:val="0"/>
      <w:marTop w:val="0"/>
      <w:marBottom w:val="0"/>
      <w:divBdr>
        <w:top w:val="none" w:sz="0" w:space="0" w:color="auto"/>
        <w:left w:val="none" w:sz="0" w:space="0" w:color="auto"/>
        <w:bottom w:val="none" w:sz="0" w:space="0" w:color="auto"/>
        <w:right w:val="none" w:sz="0" w:space="0" w:color="auto"/>
      </w:divBdr>
    </w:div>
    <w:div w:id="1942645437">
      <w:bodyDiv w:val="1"/>
      <w:marLeft w:val="0"/>
      <w:marRight w:val="0"/>
      <w:marTop w:val="0"/>
      <w:marBottom w:val="0"/>
      <w:divBdr>
        <w:top w:val="none" w:sz="0" w:space="0" w:color="auto"/>
        <w:left w:val="none" w:sz="0" w:space="0" w:color="auto"/>
        <w:bottom w:val="none" w:sz="0" w:space="0" w:color="auto"/>
        <w:right w:val="none" w:sz="0" w:space="0" w:color="auto"/>
      </w:divBdr>
    </w:div>
    <w:div w:id="1958174042">
      <w:bodyDiv w:val="1"/>
      <w:marLeft w:val="0"/>
      <w:marRight w:val="0"/>
      <w:marTop w:val="0"/>
      <w:marBottom w:val="0"/>
      <w:divBdr>
        <w:top w:val="none" w:sz="0" w:space="0" w:color="auto"/>
        <w:left w:val="none" w:sz="0" w:space="0" w:color="auto"/>
        <w:bottom w:val="none" w:sz="0" w:space="0" w:color="auto"/>
        <w:right w:val="none" w:sz="0" w:space="0" w:color="auto"/>
      </w:divBdr>
    </w:div>
    <w:div w:id="1992903284">
      <w:bodyDiv w:val="1"/>
      <w:marLeft w:val="0"/>
      <w:marRight w:val="0"/>
      <w:marTop w:val="0"/>
      <w:marBottom w:val="0"/>
      <w:divBdr>
        <w:top w:val="none" w:sz="0" w:space="0" w:color="auto"/>
        <w:left w:val="none" w:sz="0" w:space="0" w:color="auto"/>
        <w:bottom w:val="none" w:sz="0" w:space="0" w:color="auto"/>
        <w:right w:val="none" w:sz="0" w:space="0" w:color="auto"/>
      </w:divBdr>
    </w:div>
    <w:div w:id="202127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freqplan@acma.gov.au"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freqplan@acma.gov.au"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www.acma.gov.au/managing-spectrum-400-mhz-b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freqplan@acma.gov.au"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acma.gov.au/managing-spectrum-400-mhz-band" TargetMode="External"/><Relationship Id="rId1" Type="http://schemas.openxmlformats.org/officeDocument/2006/relationships/hyperlink" Target="http://www.acma.gov.au/theACMA/About/Making-payments/Apparatus-licence-fees/apparatus-licence-fees-acm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2997C-17F3-463E-B8B9-1DBD46A74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5033</Words>
  <Characters>28689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2020-01-13T02:29:00Z</dcterms:created>
  <dcterms:modified xsi:type="dcterms:W3CDTF">2020-01-13T04:11:00Z</dcterms:modified>
  <cp:category/>
</cp:coreProperties>
</file>