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Martinez-Romero v. State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Texas, Fourth District, San Antonio</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February 16, 2000, Decided ; February 16, 2000, Filed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04-98-01073-CR</w:t>
      </w:r>
    </w:p>
    <w:p>
      <w:pPr>
        <w:keepNext w:val="0"/>
        <w:spacing w:after="0" w:line="240" w:lineRule="atLeast"/>
        <w:ind w:right="0"/>
        <w:jc w:val="both"/>
      </w:pPr>
      <w:bookmarkStart w:id="0" w:name="Bookmark_74"/>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2000 Tex. App. LEXIS 1045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2000 WL 177456</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Carlos MARTINEZ-ROMERO, Appellant v. The STATE of Texas, Appellee</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 xml:space="preserve"> PURSUANT TO THE TEXAS RULES OF APPELLATE</w:t>
      </w:r>
    </w:p>
    <w:p>
      <w:pPr>
        <w:keepNext w:val="0"/>
        <w:spacing w:before="200" w:after="0" w:line="260" w:lineRule="atLeast"/>
        <w:ind w:left="0" w:right="0" w:firstLine="0"/>
        <w:jc w:val="both"/>
      </w:pPr>
      <w:bookmarkStart w:id="4" w:name="Bookmark_para_2"/>
      <w:bookmarkEnd w:id="4"/>
      <w:r>
        <w:rPr>
          <w:rFonts w:ascii="arial" w:eastAsia="arial" w:hAnsi="arial" w:cs="arial"/>
          <w:b w:val="0"/>
          <w:i w:val="0"/>
          <w:strike w:val="0"/>
          <w:noProof w:val="0"/>
          <w:color w:val="000000"/>
          <w:position w:val="0"/>
          <w:sz w:val="20"/>
          <w:u w:val="none"/>
          <w:vertAlign w:val="baseline"/>
        </w:rPr>
        <w:t>PROCEDURE, UNPUBLISHED OPINIONS SHALL NOT BE CITED AS AUTHORITY</w:t>
      </w:r>
    </w:p>
    <w:p>
      <w:pPr>
        <w:keepNext w:val="0"/>
        <w:spacing w:before="200" w:after="0" w:line="260" w:lineRule="atLeast"/>
        <w:ind w:left="0" w:right="0" w:firstLine="0"/>
        <w:jc w:val="both"/>
      </w:pPr>
      <w:bookmarkStart w:id="5" w:name="Bookmark_para_3"/>
      <w:bookmarkEnd w:id="5"/>
      <w:r>
        <w:rPr>
          <w:rFonts w:ascii="arial" w:eastAsia="arial" w:hAnsi="arial" w:cs="arial"/>
          <w:b w:val="0"/>
          <w:i w:val="0"/>
          <w:strike w:val="0"/>
          <w:noProof w:val="0"/>
          <w:color w:val="000000"/>
          <w:position w:val="0"/>
          <w:sz w:val="20"/>
          <w:u w:val="none"/>
          <w:vertAlign w:val="baseline"/>
        </w:rPr>
        <w:t xml:space="preserve">BY COUNSEL OR BY A COURT.  </w:t>
      </w:r>
    </w:p>
    <w:p>
      <w:pPr>
        <w:keepNext w:val="0"/>
        <w:spacing w:before="240" w:after="0" w:line="260" w:lineRule="atLeast"/>
        <w:ind w:left="0" w:right="0" w:firstLine="0"/>
        <w:jc w:val="both"/>
      </w:pPr>
      <w:bookmarkStart w:id="6" w:name="Prior History"/>
      <w:bookmarkEnd w:id="6"/>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7" w:name="Bookmark_para_4"/>
      <w:bookmarkEnd w:id="7"/>
      <w:r>
        <w:rPr>
          <w:rFonts w:ascii="arial" w:eastAsia="arial" w:hAnsi="arial" w:cs="arial"/>
          <w:b w:val="0"/>
          <w:i w:val="0"/>
          <w:strike w:val="0"/>
          <w:noProof w:val="0"/>
          <w:color w:val="000000"/>
          <w:position w:val="0"/>
          <w:sz w:val="20"/>
          <w:u w:val="none"/>
          <w:vertAlign w:val="baseline"/>
        </w:rPr>
        <w:t xml:space="preserve">From the 218th Judicial District Court, LaSalle County, Texas. Trial Court No. 98-08-00040-CRL. Honorable Stella Saxon, Judge Presiding.  </w:t>
      </w:r>
    </w:p>
    <w:p>
      <w:pPr>
        <w:keepNext w:val="0"/>
        <w:spacing w:before="240" w:after="0" w:line="260" w:lineRule="atLeast"/>
        <w:ind w:left="0" w:right="0" w:firstLine="0"/>
        <w:jc w:val="both"/>
      </w:pPr>
      <w:bookmarkStart w:id="8" w:name="Disposition"/>
      <w:bookmarkEnd w:id="8"/>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9" w:name="Bookmark_clspara_5"/>
      <w:bookmarkEnd w:id="9"/>
      <w:r>
        <w:rPr>
          <w:rFonts w:ascii="arial" w:eastAsia="arial" w:hAnsi="arial" w:cs="arial"/>
          <w:b w:val="0"/>
          <w:i w:val="0"/>
          <w:strike w:val="0"/>
          <w:noProof w:val="0"/>
          <w:color w:val="000000"/>
          <w:position w:val="0"/>
          <w:sz w:val="20"/>
          <w:u w:val="none"/>
          <w:vertAlign w:val="baseline"/>
        </w:rPr>
        <w:t xml:space="preserve">AFFIRMED.  </w:t>
      </w:r>
    </w:p>
    <w:p>
      <w:pPr>
        <w:keepNext/>
        <w:spacing w:before="240" w:after="0" w:line="340" w:lineRule="atLeast"/>
        <w:ind w:left="0" w:right="0" w:firstLine="0"/>
        <w:jc w:val="left"/>
      </w:pPr>
      <w:bookmarkStart w:id="10" w:name="Core Terms"/>
      <w:bookmarkEnd w:id="10"/>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border, reasonable suspicion, truck, Patrol, vehicle registration, crew-cab, stops</w:t>
      </w:r>
    </w:p>
    <w:p>
      <w:pPr>
        <w:keepNext/>
        <w:spacing w:before="240" w:after="0" w:line="340" w:lineRule="atLeast"/>
        <w:ind w:left="0" w:right="0" w:firstLine="0"/>
        <w:jc w:val="left"/>
      </w:pPr>
      <w:bookmarkStart w:id="11" w:name="LexisNexis® Headnotes"/>
      <w:bookmarkEnd w:id="11"/>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12" w:name="Bookmark_clscc1"/>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De Novo Review &gt; General Overview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Standards of Review &gt; General Overview</w:t>
      </w:r>
    </w:p>
    <w:p>
      <w:pPr>
        <w:keepNext w:val="0"/>
        <w:spacing w:before="240" w:after="0" w:line="260" w:lineRule="atLeast"/>
        <w:ind w:left="0" w:right="0" w:firstLine="0"/>
        <w:jc w:val="both"/>
      </w:pPr>
      <w:hyperlink r:id="rId10"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De Novo Review</w:t>
      </w:r>
    </w:p>
    <w:p>
      <w:pPr>
        <w:keepNext w:val="0"/>
        <w:spacing w:before="240" w:after="0" w:line="260" w:lineRule="atLeast"/>
        <w:ind w:left="0" w:right="0" w:firstLine="0"/>
        <w:jc w:val="both"/>
      </w:pPr>
      <w:bookmarkStart w:id="13" w:name="Bookmark_hnpara_1"/>
      <w:bookmarkEnd w:id="13"/>
      <w:r>
        <w:rPr>
          <w:rFonts w:ascii="arial" w:eastAsia="arial" w:hAnsi="arial" w:cs="arial"/>
          <w:b w:val="0"/>
          <w:i w:val="0"/>
          <w:strike w:val="0"/>
          <w:noProof w:val="0"/>
          <w:color w:val="000000"/>
          <w:position w:val="0"/>
          <w:sz w:val="20"/>
          <w:u w:val="none"/>
          <w:vertAlign w:val="baseline"/>
        </w:rPr>
        <w:t>Challenges to findings of reasonable suspicion involve mixed questions of law and fact. Although the appellate court pays deference to historical facts, it reviews de novo mixed questions of law and fact, and reviews all facts under the totality of the circumstances, rather than in isolation.</w:t>
      </w:r>
    </w:p>
    <w:p>
      <w:pPr>
        <w:spacing w:before="120"/>
      </w:pPr>
      <w:bookmarkStart w:id="14" w:name="Bookmark_clscc2"/>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Scope of Protection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Border Searches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Search &amp; Seizure &gt; General Overview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General Overview</w:t>
      </w:r>
    </w:p>
    <w:p>
      <w:pPr>
        <w:keepNext w:val="0"/>
        <w:spacing w:before="240" w:after="0" w:line="260" w:lineRule="atLeast"/>
        <w:ind w:left="0" w:right="0" w:firstLine="0"/>
        <w:jc w:val="both"/>
      </w:pPr>
      <w:hyperlink r:id="rId12"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Search &amp; Seizure, Scope of Protection</w:t>
      </w:r>
    </w:p>
    <w:p>
      <w:pPr>
        <w:keepNext w:val="0"/>
        <w:spacing w:before="240" w:after="0" w:line="260" w:lineRule="atLeast"/>
        <w:ind w:left="0" w:right="0" w:firstLine="0"/>
        <w:jc w:val="both"/>
      </w:pPr>
      <w:bookmarkStart w:id="15" w:name="Bookmark_hnpara_2"/>
      <w:bookmarkEnd w:id="15"/>
      <w:r>
        <w:rPr>
          <w:rFonts w:ascii="arial" w:eastAsia="arial" w:hAnsi="arial" w:cs="arial"/>
          <w:b w:val="0"/>
          <w:i w:val="0"/>
          <w:strike w:val="0"/>
          <w:noProof w:val="0"/>
          <w:color w:val="000000"/>
          <w:position w:val="0"/>
          <w:sz w:val="20"/>
          <w:u w:val="none"/>
          <w:vertAlign w:val="baseline"/>
        </w:rPr>
        <w:t xml:space="preserve">Both the United States and Texas constitutions protect individuals from unreasonable searches and seizures. </w:t>
      </w:r>
      <w:hyperlink r:id="rId13" w:history="1">
        <w:r>
          <w:rPr>
            <w:rFonts w:ascii="arial" w:eastAsia="arial" w:hAnsi="arial" w:cs="arial"/>
            <w:b w:val="0"/>
            <w:i/>
            <w:strike w:val="0"/>
            <w:noProof w:val="0"/>
            <w:color w:val="0077CC"/>
            <w:position w:val="0"/>
            <w:sz w:val="20"/>
            <w:u w:val="single"/>
            <w:vertAlign w:val="baseline"/>
          </w:rPr>
          <w:t>U.S. Const. amend. IV</w:t>
        </w:r>
      </w:hyperlink>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Tex. Const. art. 1, § 9</w:t>
        </w:r>
      </w:hyperlink>
      <w:r>
        <w:rPr>
          <w:rFonts w:ascii="arial" w:eastAsia="arial" w:hAnsi="arial" w:cs="arial"/>
          <w:b w:val="0"/>
          <w:i w:val="0"/>
          <w:strike w:val="0"/>
          <w:noProof w:val="0"/>
          <w:color w:val="000000"/>
          <w:position w:val="0"/>
          <w:sz w:val="20"/>
          <w:u w:val="none"/>
          <w:vertAlign w:val="baseline"/>
        </w:rPr>
        <w:t>. Despite evolving standards in the area of roving border patrol stops, the Texas Court of Criminal Appeals enumerates eight factors to guide analysis of reasonable suspicion: (1) the proximity to the border; (2) the usual patterns of traffic on the particular road; (3) the officer's previous experience in detecting illegal entry and smuggling; (4) the information concerning recent unlawful border crossings; (5) the driver's behavior, such as erratic driving or obvious attempts to evade the officer; (6) the physical aspects of the vehicle and the vehicle's load; and (7) the extraordinary number of passengers, their behavior, or persons trying to hide. Consistent with the court's admonishment that the list is non-exhaustive, vehicle registration was added as an additional factor to consider in the reasonable suspicion analysis.</w:t>
      </w:r>
    </w:p>
    <w:p>
      <w:pPr>
        <w:spacing w:before="120"/>
      </w:pPr>
      <w:bookmarkStart w:id="16" w:name="Bookmark_clscc3"/>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Border Searches</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Warrantless Searches, Border Searches</w:t>
      </w:r>
    </w:p>
    <w:p>
      <w:pPr>
        <w:keepNext w:val="0"/>
        <w:spacing w:before="240" w:after="0" w:line="260" w:lineRule="atLeast"/>
        <w:ind w:left="0" w:right="0" w:firstLine="0"/>
        <w:jc w:val="both"/>
      </w:pPr>
      <w:bookmarkStart w:id="17" w:name="Bookmark_hnpara_3"/>
      <w:bookmarkEnd w:id="17"/>
      <w:r>
        <w:rPr>
          <w:rFonts w:ascii="arial" w:eastAsia="arial" w:hAnsi="arial" w:cs="arial"/>
          <w:b w:val="0"/>
          <w:i w:val="0"/>
          <w:strike w:val="0"/>
          <w:noProof w:val="0"/>
          <w:color w:val="000000"/>
          <w:position w:val="0"/>
          <w:sz w:val="20"/>
          <w:u w:val="none"/>
          <w:vertAlign w:val="baseline"/>
        </w:rPr>
        <w:t>Both federal and Texas state guidelines limit a reasonable proximity to stops conducted within 50 miles of the border.</w:t>
      </w:r>
    </w:p>
    <w:p>
      <w:pPr>
        <w:spacing w:before="120"/>
      </w:pPr>
      <w:bookmarkStart w:id="18" w:name="Bookmark_clscc4"/>
      <w:bookmarkEnd w:id="1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Civil Procedure &gt; Judicial Officers &gt; Judges &gt; General Overview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Pretrial Motions &amp; Procedures &gt; Suppression of Evidence</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Judicial Officers, Judges</w:t>
      </w:r>
    </w:p>
    <w:p>
      <w:pPr>
        <w:keepNext w:val="0"/>
        <w:spacing w:before="240" w:after="0" w:line="260" w:lineRule="atLeast"/>
        <w:ind w:left="0" w:right="0" w:firstLine="0"/>
        <w:jc w:val="both"/>
      </w:pPr>
      <w:bookmarkStart w:id="19" w:name="Bookmark_hnpara_4"/>
      <w:bookmarkEnd w:id="19"/>
      <w:r>
        <w:rPr>
          <w:rFonts w:ascii="arial" w:eastAsia="arial" w:hAnsi="arial" w:cs="arial"/>
          <w:b w:val="0"/>
          <w:i w:val="0"/>
          <w:strike w:val="0"/>
          <w:noProof w:val="0"/>
          <w:color w:val="000000"/>
          <w:position w:val="0"/>
          <w:sz w:val="20"/>
          <w:u w:val="none"/>
          <w:vertAlign w:val="baseline"/>
        </w:rPr>
        <w:t>The trial judge is the sole and exclusive trier of facts and the judge of the credibility of witnesses at suppression hearings.</w:t>
      </w:r>
    </w:p>
    <w:p>
      <w:pPr>
        <w:keepNext w:val="0"/>
        <w:spacing w:before="240" w:after="0" w:line="260" w:lineRule="atLeast"/>
        <w:ind w:left="0" w:right="0" w:firstLine="0"/>
        <w:jc w:val="left"/>
      </w:pPr>
      <w:bookmarkStart w:id="20" w:name="Counsel"/>
      <w:bookmarkEnd w:id="20"/>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xml:space="preserve"> FOR APPELLANT: Eduardo Jaime,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TX.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FOR APPELLEE: Reynaldo Padilla Morin, Asst District Attorney, 81st Judicial District, Jourdanton, TX.  </w:t>
      </w:r>
    </w:p>
    <w:p>
      <w:pPr>
        <w:keepNext w:val="0"/>
        <w:spacing w:before="240" w:after="0" w:line="260" w:lineRule="atLeast"/>
        <w:ind w:left="0" w:right="0" w:firstLine="0"/>
        <w:jc w:val="left"/>
      </w:pPr>
      <w:bookmarkStart w:id="21" w:name="Judges"/>
      <w:bookmarkEnd w:id="21"/>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xml:space="preserve"> Opinion by: Catherine Stone, Justice. Sitting: Tom Rickhoff, Justice, Catherine Stone, Justice, Paul W. Green, Justice.  </w:t>
      </w:r>
    </w:p>
    <w:p>
      <w:pPr>
        <w:keepNext w:val="0"/>
        <w:spacing w:before="240" w:after="0" w:line="260" w:lineRule="atLeast"/>
        <w:ind w:left="0" w:right="0" w:firstLine="0"/>
        <w:jc w:val="left"/>
      </w:pPr>
      <w:bookmarkStart w:id="22" w:name="Opinion by"/>
      <w:bookmarkEnd w:id="22"/>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Catherine Stone</w:t>
      </w:r>
    </w:p>
    <w:p>
      <w:pPr>
        <w:keepNext/>
        <w:spacing w:before="240" w:after="0" w:line="340" w:lineRule="atLeast"/>
        <w:ind w:left="0" w:right="0" w:firstLine="0"/>
        <w:jc w:val="left"/>
      </w:pPr>
      <w:bookmarkStart w:id="23" w:name="Opinion"/>
      <w:bookmarkEnd w:id="23"/>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2"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24" w:name="Bookmark_para_5"/>
      <w:bookmarkEnd w:id="24"/>
      <w:r>
        <w:rPr>
          <w:rFonts w:ascii="arial" w:eastAsia="arial" w:hAnsi="arial" w:cs="arial"/>
          <w:b w:val="0"/>
          <w:i w:val="0"/>
          <w:strike w:val="0"/>
          <w:noProof w:val="0"/>
          <w:color w:val="000000"/>
          <w:position w:val="0"/>
          <w:sz w:val="20"/>
          <w:u w:val="none"/>
          <w:vertAlign w:val="baseline"/>
        </w:rPr>
        <w:t>Appellant Carlos Martinez-Romero was convicted of possession of marijuana. On appeal appellant argues the trial court erred in overruling his motion to suppress evidence of the marijuana. Appellant based his motion to suppress on a lack of reasonable suspicion for a vehicle stop at the border. Because we agree with the trial court that enough factors existed to justify the stop under the totality of the circumstances, we affirm the trial court's judgment.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FACTUAL AND PROCEDURAL BACKGROUND</w:t>
      </w:r>
    </w:p>
    <w:p>
      <w:pPr>
        <w:keepNext w:val="0"/>
        <w:spacing w:before="200" w:after="0" w:line="260" w:lineRule="atLeast"/>
        <w:ind w:left="0" w:right="0" w:firstLine="0"/>
        <w:jc w:val="both"/>
      </w:pPr>
      <w:bookmarkStart w:id="25" w:name="Bookmark_para_6"/>
      <w:bookmarkEnd w:id="25"/>
      <w:r>
        <w:rPr>
          <w:rFonts w:ascii="arial" w:eastAsia="arial" w:hAnsi="arial" w:cs="arial"/>
          <w:b w:val="0"/>
          <w:i w:val="0"/>
          <w:strike w:val="0"/>
          <w:noProof w:val="0"/>
          <w:color w:val="000000"/>
          <w:position w:val="0"/>
          <w:sz w:val="20"/>
          <w:u w:val="none"/>
          <w:vertAlign w:val="baseline"/>
        </w:rPr>
        <w:t>At approximately noon on May 24, 1998, Border Patrol Agent David Fitzgerald conducted an investigatory stop of appellant as he traveled north on Interstate 35 in a crew-cab truck. The stop took place in Cotulla, Texas, approximately sixty-eight miles from</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the Texas-Mexico border. Conversing with appellant in both Spanish and English, Agent Fitzgerald requested that appellant produce proof of citizenship. Appellant presented proper proof of Mexican citizenship as well as a valid border-crosser card. While standing by the vehicle, Agent Fitzgerald noticed the strong odor of carpet freshener and observed freshener sprinkled on the floorboard of the truck. Suspecting that appellant used the deodorizer to eliminate the scent of illegal drugs, Agent Fitzgerald obtained appellant's consent to examine a toolbox located in the back of the truck. Although appellant denied possessing the key, Agent Fitzgerald opened the toolbox with a key attached to the ignition and found six bundles of marijuana totaling one hundred and sixty-nine pounds. Fitzgerald arrested appellant for illegal drug possession. A jury found appellant guilty of possession and imposed a sentence of seven years imprisonment. In a single issue, appellant argues no reasonable suspicion existed to authorize the stop and therefore the trial court erred in admitting the evidence of marijuana at trial.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STANDARD OF REVIEW</w:t>
      </w:r>
    </w:p>
    <w:p>
      <w:pPr>
        <w:keepNext w:val="0"/>
        <w:spacing w:before="200" w:after="0" w:line="260" w:lineRule="atLeast"/>
        <w:ind w:left="0" w:right="0" w:firstLine="0"/>
        <w:jc w:val="both"/>
      </w:pPr>
      <w:bookmarkStart w:id="26" w:name="Bookmark_para_7"/>
      <w:bookmarkEnd w:id="26"/>
      <w:bookmarkStart w:id="27" w:name="Bookmark_I4F7NWJ90K1MND1B80000400"/>
      <w:bookmarkEnd w:id="27"/>
      <w:bookmarkStart w:id="28" w:name="Bookmark_I4F7NWJ90K1MND1BB0000400"/>
      <w:bookmarkEnd w:id="28"/>
      <w:bookmarkStart w:id="29" w:name="Bookmark_LNHNREFclscc1"/>
      <w:bookmarkEnd w:id="29"/>
      <w:hyperlink r:id="rId17"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3" type="#_x0000_t75" style="width:10.5pt;height:10.5pt">
              <v:imagedata r:id="rId18" o:title=""/>
            </v:shape>
          </w:pict>
        </w:r>
      </w:hyperlink>
      <w:r>
        <w:rPr>
          <w:rFonts w:ascii="arial" w:eastAsia="arial" w:hAnsi="arial" w:cs="arial"/>
          <w:b w:val="0"/>
          <w:i w:val="0"/>
          <w:strike w:val="0"/>
          <w:noProof w:val="0"/>
          <w:color w:val="000000"/>
          <w:position w:val="0"/>
          <w:sz w:val="20"/>
          <w:u w:val="none"/>
          <w:vertAlign w:val="baseline"/>
        </w:rPr>
        <w:t>] Challenges to findings of reasonable suspicion involve</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mixed questions of law and fact. </w:t>
      </w:r>
      <w:bookmarkStart w:id="30" w:name="Bookmark_I4F7NWJ90K1MND1B70000400"/>
      <w:bookmarkEnd w:id="30"/>
      <w:hyperlink r:id="rId19" w:history="1">
        <w:r>
          <w:rPr>
            <w:rFonts w:ascii="arial" w:eastAsia="arial" w:hAnsi="arial" w:cs="arial"/>
            <w:b w:val="0"/>
            <w:i/>
            <w:strike w:val="0"/>
            <w:noProof w:val="0"/>
            <w:color w:val="0077CC"/>
            <w:position w:val="0"/>
            <w:sz w:val="20"/>
            <w:u w:val="single"/>
            <w:vertAlign w:val="baseline"/>
          </w:rPr>
          <w:t xml:space="preserve">Loesch v. State, </w:t>
        </w:r>
      </w:hyperlink>
      <w:hyperlink r:id="rId19" w:history="1">
        <w:r>
          <w:rPr>
            <w:rFonts w:ascii="arial" w:eastAsia="arial" w:hAnsi="arial" w:cs="arial"/>
            <w:b w:val="0"/>
            <w:i/>
            <w:strike w:val="0"/>
            <w:noProof w:val="0"/>
            <w:color w:val="0077CC"/>
            <w:position w:val="0"/>
            <w:sz w:val="20"/>
            <w:u w:val="single"/>
            <w:vertAlign w:val="baseline"/>
          </w:rPr>
          <w:t>958 S.W.2d 830, 832 (Tex. Crim. App. 1997)</w:t>
        </w:r>
      </w:hyperlink>
      <w:r>
        <w:rPr>
          <w:rFonts w:ascii="arial" w:eastAsia="arial" w:hAnsi="arial" w:cs="arial"/>
          <w:b w:val="0"/>
          <w:i w:val="0"/>
          <w:strike w:val="0"/>
          <w:noProof w:val="0"/>
          <w:color w:val="000000"/>
          <w:position w:val="0"/>
          <w:sz w:val="20"/>
          <w:u w:val="none"/>
          <w:vertAlign w:val="baseline"/>
        </w:rPr>
        <w:t xml:space="preserve">. Although we pay deference to historical facts, we review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mixed questions of law and fact.  </w:t>
      </w:r>
      <w:bookmarkStart w:id="31" w:name="Bookmark_I4F7NWJ90K1MND1B90000400"/>
      <w:bookmarkEnd w:id="31"/>
      <w:hyperlink r:id="rId20" w:history="1">
        <w:r>
          <w:rPr>
            <w:rFonts w:ascii="arial" w:eastAsia="arial" w:hAnsi="arial" w:cs="arial"/>
            <w:b w:val="0"/>
            <w:i/>
            <w:strike w:val="0"/>
            <w:noProof w:val="0"/>
            <w:color w:val="0077CC"/>
            <w:position w:val="0"/>
            <w:sz w:val="20"/>
            <w:u w:val="single"/>
            <w:vertAlign w:val="baseline"/>
          </w:rPr>
          <w:t>Guzman v. State</w:t>
        </w:r>
      </w:hyperlink>
      <w:hyperlink r:id="rId20" w:history="1">
        <w:r>
          <w:rPr>
            <w:rFonts w:ascii="arial" w:eastAsia="arial" w:hAnsi="arial" w:cs="arial"/>
            <w:b w:val="0"/>
            <w:i/>
            <w:strike w:val="0"/>
            <w:noProof w:val="0"/>
            <w:color w:val="0077CC"/>
            <w:position w:val="0"/>
            <w:sz w:val="20"/>
            <w:u w:val="single"/>
            <w:vertAlign w:val="baseline"/>
          </w:rPr>
          <w:t>,955 S.W.2d 85, 89 (Tex. Crim. App. 1997)</w:t>
        </w:r>
      </w:hyperlink>
      <w:r>
        <w:rPr>
          <w:rFonts w:ascii="arial" w:eastAsia="arial" w:hAnsi="arial" w:cs="arial"/>
          <w:b w:val="0"/>
          <w:i w:val="0"/>
          <w:strike w:val="0"/>
          <w:noProof w:val="0"/>
          <w:color w:val="000000"/>
          <w:position w:val="0"/>
          <w:sz w:val="20"/>
          <w:u w:val="none"/>
          <w:vertAlign w:val="baseline"/>
        </w:rPr>
        <w:t xml:space="preserve">. We review all facts under the totality of the circumstances, rather than in isolation.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REASONABLE SUSPICION</w:t>
      </w:r>
    </w:p>
    <w:p>
      <w:pPr>
        <w:keepNext w:val="0"/>
        <w:spacing w:before="240" w:after="0" w:line="260" w:lineRule="atLeast"/>
        <w:ind w:left="0" w:right="0" w:firstLine="0"/>
        <w:jc w:val="both"/>
      </w:pPr>
      <w:bookmarkStart w:id="32" w:name="Bookmark_para_8"/>
      <w:bookmarkEnd w:id="32"/>
      <w:bookmarkStart w:id="33" w:name="Bookmark_LNHNREFclscc2"/>
      <w:bookmarkEnd w:id="33"/>
      <w:hyperlink r:id="rId21"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34" type="#_x0000_t75" style="width:10.5pt;height:10.5pt">
              <v:imagedata r:id="rId18" o:title=""/>
            </v:shape>
          </w:pict>
        </w:r>
      </w:hyperlink>
      <w:r>
        <w:rPr>
          <w:rFonts w:ascii="arial" w:eastAsia="arial" w:hAnsi="arial" w:cs="arial"/>
          <w:b w:val="0"/>
          <w:i w:val="0"/>
          <w:strike w:val="0"/>
          <w:noProof w:val="0"/>
          <w:color w:val="000000"/>
          <w:position w:val="0"/>
          <w:sz w:val="20"/>
          <w:u w:val="none"/>
          <w:vertAlign w:val="baseline"/>
        </w:rPr>
        <w:t xml:space="preserve">] Both the United States and Texas constitutions protect individuals from unreasonable searches and seizures. </w:t>
      </w:r>
      <w:bookmarkStart w:id="34" w:name="Bookmark_I5V22XFJC5N000V6VPV001K1"/>
      <w:bookmarkEnd w:id="34"/>
      <w:bookmarkStart w:id="35" w:name="Bookmark_I4F7NWJ90K1MND1DD0000400"/>
      <w:bookmarkEnd w:id="35"/>
      <w:hyperlink r:id="rId13" w:history="1">
        <w:r>
          <w:rPr>
            <w:rFonts w:ascii="arial" w:eastAsia="arial" w:hAnsi="arial" w:cs="arial"/>
            <w:b w:val="0"/>
            <w:i/>
            <w:strike w:val="0"/>
            <w:noProof w:val="0"/>
            <w:color w:val="0077CC"/>
            <w:position w:val="0"/>
            <w:sz w:val="20"/>
            <w:u w:val="single"/>
            <w:vertAlign w:val="baseline"/>
          </w:rPr>
          <w:t>U.S. CONST. amend. IV</w:t>
        </w:r>
      </w:hyperlink>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TEX. CONST. art. 1, § 9</w:t>
        </w:r>
      </w:hyperlink>
      <w:r>
        <w:rPr>
          <w:rFonts w:ascii="arial" w:eastAsia="arial" w:hAnsi="arial" w:cs="arial"/>
          <w:b w:val="0"/>
          <w:i w:val="0"/>
          <w:strike w:val="0"/>
          <w:noProof w:val="0"/>
          <w:color w:val="000000"/>
          <w:position w:val="0"/>
          <w:sz w:val="20"/>
          <w:u w:val="none"/>
          <w:vertAlign w:val="baseline"/>
        </w:rPr>
        <w:t xml:space="preserve">. </w:t>
      </w:r>
      <w:bookmarkStart w:id="36" w:name="Bookmark_I4F7NWJ90K1MND1DJ0000400"/>
      <w:bookmarkEnd w:id="36"/>
      <w:r>
        <w:rPr>
          <w:rFonts w:ascii="arial" w:eastAsia="arial" w:hAnsi="arial" w:cs="arial"/>
          <w:b w:val="0"/>
          <w:i w:val="0"/>
          <w:strike w:val="0"/>
          <w:noProof w:val="0"/>
          <w:color w:val="000000"/>
          <w:position w:val="0"/>
          <w:sz w:val="20"/>
          <w:u w:val="none"/>
          <w:vertAlign w:val="baseline"/>
        </w:rPr>
        <w:t xml:space="preserve">Despite evolving standards in the area of roving border patrol stops </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the Texas Court of Criminal Appeals in </w:t>
      </w:r>
      <w:r>
        <w:rPr>
          <w:rFonts w:ascii="arial" w:eastAsia="arial" w:hAnsi="arial" w:cs="arial"/>
          <w:b w:val="0"/>
          <w:i/>
          <w:strike w:val="0"/>
          <w:noProof w:val="0"/>
          <w:color w:val="000000"/>
          <w:position w:val="0"/>
          <w:sz w:val="20"/>
          <w:u w:val="none"/>
          <w:vertAlign w:val="baseline"/>
        </w:rPr>
        <w:t>Luera v. State,</w:t>
      </w:r>
      <w:r>
        <w:rPr>
          <w:rFonts w:ascii="arial" w:eastAsia="arial" w:hAnsi="arial" w:cs="arial"/>
          <w:b w:val="0"/>
          <w:i w:val="0"/>
          <w:strike w:val="0"/>
          <w:noProof w:val="0"/>
          <w:color w:val="000000"/>
          <w:position w:val="0"/>
          <w:sz w:val="20"/>
          <w:u w:val="none"/>
          <w:vertAlign w:val="baseline"/>
        </w:rPr>
        <w:t xml:space="preserve"> enumerated the following eight factors to guide our analysis of reasonable suspicion: (1) the proximity to the border; (2) the usual patterns of traffic on the particular road; (3) the officer's previous experience in detecting illegal entry and smuggling; (4) the information concerning recent unlawful border crossings; (5) the driver's behavior, such as erratic driving or obvious attempts to evade the officer; (6) the physical aspects of the vehicle and the vehicle's load; and (7) the extraordinary</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number of passengers, their behavior, or persons trying to hide. </w:t>
      </w:r>
      <w:bookmarkStart w:id="40" w:name="Bookmark_I4F7NWJ90K1MND1BC0000400"/>
      <w:bookmarkEnd w:id="40"/>
      <w:hyperlink r:id="rId22" w:history="1">
        <w:r>
          <w:rPr>
            <w:rFonts w:ascii="arial" w:eastAsia="arial" w:hAnsi="arial" w:cs="arial"/>
            <w:b w:val="0"/>
            <w:i/>
            <w:strike w:val="0"/>
            <w:noProof w:val="0"/>
            <w:color w:val="0077CC"/>
            <w:position w:val="0"/>
            <w:sz w:val="20"/>
            <w:u w:val="single"/>
            <w:vertAlign w:val="baseline"/>
          </w:rPr>
          <w:t xml:space="preserve">Luera, </w:t>
        </w:r>
      </w:hyperlink>
      <w:hyperlink r:id="rId22" w:history="1">
        <w:r>
          <w:rPr>
            <w:rFonts w:ascii="arial" w:eastAsia="arial" w:hAnsi="arial" w:cs="arial"/>
            <w:b w:val="0"/>
            <w:i/>
            <w:strike w:val="0"/>
            <w:noProof w:val="0"/>
            <w:color w:val="0077CC"/>
            <w:position w:val="0"/>
            <w:sz w:val="20"/>
            <w:u w:val="single"/>
            <w:vertAlign w:val="baseline"/>
          </w:rPr>
          <w:t>561 S.W.2d 497, 499 (Tex. Crim. App. 1978)</w:t>
        </w:r>
      </w:hyperlink>
      <w:r>
        <w:rPr>
          <w:rFonts w:ascii="arial" w:eastAsia="arial" w:hAnsi="arial" w:cs="arial"/>
          <w:b w:val="0"/>
          <w:i w:val="0"/>
          <w:strike w:val="0"/>
          <w:noProof w:val="0"/>
          <w:color w:val="000000"/>
          <w:position w:val="0"/>
          <w:sz w:val="20"/>
          <w:u w:val="none"/>
          <w:vertAlign w:val="baseline"/>
        </w:rPr>
        <w:t xml:space="preserve">; </w:t>
      </w:r>
      <w:bookmarkStart w:id="41" w:name="Bookmark_I4F7NWJ90K1MND1DF0000400"/>
      <w:bookmarkEnd w:id="41"/>
      <w:hyperlink r:id="rId23" w:history="1">
        <w:r>
          <w:rPr>
            <w:rFonts w:ascii="arial" w:eastAsia="arial" w:hAnsi="arial" w:cs="arial"/>
            <w:b w:val="0"/>
            <w:i/>
            <w:strike w:val="0"/>
            <w:noProof w:val="0"/>
            <w:color w:val="0077CC"/>
            <w:position w:val="0"/>
            <w:sz w:val="20"/>
            <w:u w:val="single"/>
            <w:vertAlign w:val="baseline"/>
          </w:rPr>
          <w:t xml:space="preserve">United States v. Brignoni-Ponce, </w:t>
        </w:r>
      </w:hyperlink>
      <w:hyperlink r:id="rId23" w:history="1">
        <w:r>
          <w:rPr>
            <w:rFonts w:ascii="arial" w:eastAsia="arial" w:hAnsi="arial" w:cs="arial"/>
            <w:b w:val="0"/>
            <w:i/>
            <w:strike w:val="0"/>
            <w:noProof w:val="0"/>
            <w:color w:val="0077CC"/>
            <w:position w:val="0"/>
            <w:sz w:val="20"/>
            <w:u w:val="single"/>
            <w:vertAlign w:val="baseline"/>
          </w:rPr>
          <w:t>422 U.S. 873, 885-86, 45 L. Ed. 2d 607, 95 S. Ct. 2574 (1975)</w:t>
        </w:r>
      </w:hyperlink>
      <w:r>
        <w:rPr>
          <w:rFonts w:ascii="arial" w:eastAsia="arial" w:hAnsi="arial" w:cs="arial"/>
          <w:b w:val="0"/>
          <w:i w:val="0"/>
          <w:strike w:val="0"/>
          <w:noProof w:val="0"/>
          <w:color w:val="000000"/>
          <w:position w:val="0"/>
          <w:sz w:val="20"/>
          <w:u w:val="none"/>
          <w:vertAlign w:val="baseline"/>
        </w:rPr>
        <w:t xml:space="preserve">. </w:t>
      </w:r>
      <w:bookmarkStart w:id="42" w:name="Bookmark_I4F7NWJ90K1MND1DJ0000400_2"/>
      <w:bookmarkEnd w:id="42"/>
      <w:r>
        <w:rPr>
          <w:rFonts w:ascii="arial" w:eastAsia="arial" w:hAnsi="arial" w:cs="arial"/>
          <w:b w:val="0"/>
          <w:i w:val="0"/>
          <w:strike w:val="0"/>
          <w:noProof w:val="0"/>
          <w:color w:val="000000"/>
          <w:position w:val="0"/>
          <w:sz w:val="20"/>
          <w:u w:val="none"/>
          <w:vertAlign w:val="baseline"/>
        </w:rPr>
        <w:t xml:space="preserve">Consistent with the court's admonishment that the list was non-exhaustive, this court added vehicle registration as an additional factor to consider in the reasonable suspicion analysis. </w:t>
      </w:r>
      <w:r>
        <w:rPr>
          <w:rFonts w:ascii="arial" w:eastAsia="arial" w:hAnsi="arial" w:cs="arial"/>
          <w:b w:val="0"/>
          <w:i/>
          <w:strike w:val="0"/>
          <w:noProof w:val="0"/>
          <w:color w:val="000000"/>
          <w:position w:val="0"/>
          <w:sz w:val="20"/>
          <w:u w:val="none"/>
          <w:vertAlign w:val="baseline"/>
        </w:rPr>
        <w:t xml:space="preserve">See </w:t>
      </w:r>
      <w:bookmarkStart w:id="43" w:name="Bookmark_I4F7NWJ90K1MND1DH0000400"/>
      <w:bookmarkEnd w:id="43"/>
      <w:hyperlink r:id="rId24" w:history="1">
        <w:r>
          <w:rPr>
            <w:rFonts w:ascii="arial" w:eastAsia="arial" w:hAnsi="arial" w:cs="arial"/>
            <w:b w:val="0"/>
            <w:i/>
            <w:strike w:val="0"/>
            <w:noProof w:val="0"/>
            <w:color w:val="0077CC"/>
            <w:position w:val="0"/>
            <w:sz w:val="20"/>
            <w:u w:val="single"/>
            <w:vertAlign w:val="baseline"/>
          </w:rPr>
          <w:t xml:space="preserve">Renteria v. State, </w:t>
        </w:r>
      </w:hyperlink>
      <w:hyperlink r:id="rId24" w:history="1">
        <w:r>
          <w:rPr>
            <w:rFonts w:ascii="arial" w:eastAsia="arial" w:hAnsi="arial" w:cs="arial"/>
            <w:b w:val="0"/>
            <w:i/>
            <w:strike w:val="0"/>
            <w:noProof w:val="0"/>
            <w:color w:val="0077CC"/>
            <w:position w:val="0"/>
            <w:sz w:val="20"/>
            <w:u w:val="single"/>
            <w:vertAlign w:val="baseline"/>
          </w:rPr>
          <w:t>989 S.W.2d 114, 118</w:t>
        </w:r>
      </w:hyperlink>
      <w:r>
        <w:rPr>
          <w:rFonts w:ascii="arial" w:eastAsia="arial" w:hAnsi="arial" w:cs="arial"/>
          <w:b w:val="0"/>
          <w:i w:val="0"/>
          <w:strike w:val="0"/>
          <w:noProof w:val="0"/>
          <w:color w:val="000000"/>
          <w:position w:val="0"/>
          <w:sz w:val="20"/>
          <w:u w:val="none"/>
          <w:vertAlign w:val="baseline"/>
        </w:rPr>
        <w:t xml:space="preserve"> (Tex. App.-San Antonio 1999, pet. ref'd).</w:t>
      </w:r>
    </w:p>
    <w:p>
      <w:pPr>
        <w:keepNext w:val="0"/>
        <w:spacing w:before="200" w:after="0" w:line="260" w:lineRule="atLeast"/>
        <w:ind w:left="0" w:right="0" w:firstLine="0"/>
        <w:jc w:val="both"/>
      </w:pPr>
      <w:bookmarkStart w:id="44" w:name="Bookmark_para_9"/>
      <w:bookmarkEnd w:id="44"/>
      <w:r>
        <w:rPr>
          <w:rFonts w:ascii="arial" w:eastAsia="arial" w:hAnsi="arial" w:cs="arial"/>
          <w:b/>
          <w:i/>
          <w:strike w:val="0"/>
          <w:noProof w:val="0"/>
          <w:color w:val="000000"/>
          <w:position w:val="0"/>
          <w:sz w:val="20"/>
          <w:u w:val="none"/>
          <w:vertAlign w:val="baseline"/>
        </w:rPr>
        <w:t>Characteristics of Area and Proximity to Border</w:t>
      </w:r>
    </w:p>
    <w:p>
      <w:pPr>
        <w:keepNext w:val="0"/>
        <w:spacing w:before="240" w:after="0" w:line="260" w:lineRule="atLeast"/>
        <w:ind w:left="0" w:right="0" w:firstLine="0"/>
        <w:jc w:val="both"/>
      </w:pPr>
      <w:bookmarkStart w:id="45" w:name="Bookmark_para_10"/>
      <w:bookmarkEnd w:id="45"/>
      <w:bookmarkStart w:id="46" w:name="Bookmark_I4F7NWJ90K1MND1DP0000400"/>
      <w:bookmarkEnd w:id="46"/>
      <w:r>
        <w:rPr>
          <w:rFonts w:ascii="arial" w:eastAsia="arial" w:hAnsi="arial" w:cs="arial"/>
          <w:b w:val="0"/>
          <w:i w:val="0"/>
          <w:strike w:val="0"/>
          <w:noProof w:val="0"/>
          <w:color w:val="000000"/>
          <w:position w:val="0"/>
          <w:sz w:val="20"/>
          <w:u w:val="none"/>
          <w:vertAlign w:val="baseline"/>
        </w:rPr>
        <w:t>We quickly</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note </w:t>
      </w:r>
      <w:bookmarkStart w:id="47" w:name="Bookmark_LNHNREFclscc3"/>
      <w:bookmarkEnd w:id="47"/>
      <w:hyperlink r:id="rId25" w:history="1">
        <w:r>
          <w:rPr>
            <w:rFonts w:ascii="arial" w:eastAsia="arial" w:hAnsi="arial" w:cs="arial"/>
            <w:b/>
            <w:i/>
            <w:strike w:val="0"/>
            <w:noProof w:val="0"/>
            <w:color w:val="0077CC"/>
            <w:position w:val="0"/>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35" type="#_x0000_t75" style="width:10.5pt;height:10.5pt">
              <v:imagedata r:id="rId18" o:title=""/>
            </v:shape>
          </w:pict>
        </w:r>
      </w:hyperlink>
      <w:r>
        <w:rPr>
          <w:rFonts w:ascii="arial" w:eastAsia="arial" w:hAnsi="arial" w:cs="arial"/>
          <w:b w:val="0"/>
          <w:i w:val="0"/>
          <w:strike w:val="0"/>
          <w:noProof w:val="0"/>
          <w:color w:val="000000"/>
          <w:position w:val="0"/>
          <w:sz w:val="20"/>
          <w:u w:val="none"/>
          <w:vertAlign w:val="baseline"/>
        </w:rPr>
        <w:t xml:space="preserve">] both federal and state guidelines limit a reasonable proximity to stops conducted within fifty miles of the border. </w:t>
      </w:r>
      <w:r>
        <w:rPr>
          <w:rFonts w:ascii="arial" w:eastAsia="arial" w:hAnsi="arial" w:cs="arial"/>
          <w:b w:val="0"/>
          <w:i/>
          <w:strike w:val="0"/>
          <w:noProof w:val="0"/>
          <w:color w:val="000000"/>
          <w:position w:val="0"/>
          <w:sz w:val="20"/>
          <w:u w:val="none"/>
          <w:vertAlign w:val="baseline"/>
        </w:rPr>
        <w:t xml:space="preserve">See </w:t>
      </w:r>
      <w:bookmarkStart w:id="48" w:name="Bookmark_I4F7NWJ90K1MND1DN0000400"/>
      <w:bookmarkEnd w:id="48"/>
      <w:hyperlink r:id="rId26" w:history="1">
        <w:r>
          <w:rPr>
            <w:rFonts w:ascii="arial" w:eastAsia="arial" w:hAnsi="arial" w:cs="arial"/>
            <w:b w:val="0"/>
            <w:i/>
            <w:strike w:val="0"/>
            <w:noProof w:val="0"/>
            <w:color w:val="0077CC"/>
            <w:position w:val="0"/>
            <w:sz w:val="20"/>
            <w:u w:val="single"/>
            <w:vertAlign w:val="baseline"/>
          </w:rPr>
          <w:t>United States v. Melendez-Gonzalez,</w:t>
        </w:r>
      </w:hyperlink>
      <w:hyperlink r:id="rId26" w:history="1">
        <w:r>
          <w:rPr>
            <w:rFonts w:ascii="arial" w:eastAsia="arial" w:hAnsi="arial" w:cs="arial"/>
            <w:b w:val="0"/>
            <w:i/>
            <w:strike w:val="0"/>
            <w:noProof w:val="0"/>
            <w:color w:val="0077CC"/>
            <w:position w:val="0"/>
            <w:sz w:val="20"/>
            <w:u w:val="single"/>
            <w:vertAlign w:val="baseline"/>
          </w:rPr>
          <w:t xml:space="preserve"> 727 F.2d 407, 411 (5th Cir. 1984)</w:t>
        </w:r>
      </w:hyperlink>
      <w:r>
        <w:rPr>
          <w:rFonts w:ascii="arial" w:eastAsia="arial" w:hAnsi="arial" w:cs="arial"/>
          <w:b w:val="0"/>
          <w:i w:val="0"/>
          <w:strike w:val="0"/>
          <w:noProof w:val="0"/>
          <w:color w:val="000000"/>
          <w:position w:val="0"/>
          <w:sz w:val="20"/>
          <w:u w:val="none"/>
          <w:vertAlign w:val="baseline"/>
        </w:rPr>
        <w:t xml:space="preserve">(holding a stop sixty miles from the border insufficient to establish that the vehicle originated from the border); </w:t>
      </w:r>
      <w:bookmarkStart w:id="49" w:name="Bookmark_I4F7NWJ90K1MND1DR0000400"/>
      <w:bookmarkEnd w:id="49"/>
      <w:hyperlink r:id="rId24" w:history="1">
        <w:r>
          <w:rPr>
            <w:rFonts w:ascii="arial" w:eastAsia="arial" w:hAnsi="arial" w:cs="arial"/>
            <w:b w:val="0"/>
            <w:i/>
            <w:strike w:val="0"/>
            <w:noProof w:val="0"/>
            <w:color w:val="0077CC"/>
            <w:position w:val="0"/>
            <w:sz w:val="20"/>
            <w:u w:val="single"/>
            <w:vertAlign w:val="baseline"/>
          </w:rPr>
          <w:t>Renteria,</w:t>
        </w:r>
      </w:hyperlink>
      <w:hyperlink r:id="rId24" w:history="1">
        <w:r>
          <w:rPr>
            <w:rFonts w:ascii="arial" w:eastAsia="arial" w:hAnsi="arial" w:cs="arial"/>
            <w:b w:val="0"/>
            <w:i/>
            <w:strike w:val="0"/>
            <w:noProof w:val="0"/>
            <w:color w:val="0077CC"/>
            <w:position w:val="0"/>
            <w:sz w:val="20"/>
            <w:u w:val="single"/>
            <w:vertAlign w:val="baseline"/>
          </w:rPr>
          <w:t xml:space="preserve"> 989 S.W.2d at 117</w:t>
        </w:r>
      </w:hyperlink>
      <w:r>
        <w:rPr>
          <w:rFonts w:ascii="arial" w:eastAsia="arial" w:hAnsi="arial" w:cs="arial"/>
          <w:b w:val="0"/>
          <w:i w:val="0"/>
          <w:strike w:val="0"/>
          <w:noProof w:val="0"/>
          <w:color w:val="000000"/>
          <w:position w:val="0"/>
          <w:sz w:val="20"/>
          <w:u w:val="none"/>
          <w:vertAlign w:val="baseline"/>
        </w:rPr>
        <w:t xml:space="preserve"> (finding that stop conducted ninety miles from the border amounted to mere suspicion that vehicle came from the border).</w:t>
      </w:r>
    </w:p>
    <w:p>
      <w:pPr>
        <w:keepNext w:val="0"/>
        <w:spacing w:before="200" w:after="0" w:line="260" w:lineRule="atLeast"/>
        <w:ind w:left="0" w:right="0" w:firstLine="0"/>
        <w:jc w:val="both"/>
      </w:pPr>
      <w:bookmarkStart w:id="50" w:name="Bookmark_para_11"/>
      <w:bookmarkEnd w:id="50"/>
      <w:r>
        <w:rPr>
          <w:rFonts w:ascii="arial" w:eastAsia="arial" w:hAnsi="arial" w:cs="arial"/>
          <w:b w:val="0"/>
          <w:i w:val="0"/>
          <w:strike w:val="0"/>
          <w:noProof w:val="0"/>
          <w:color w:val="000000"/>
          <w:position w:val="0"/>
          <w:sz w:val="20"/>
          <w:u w:val="none"/>
          <w:vertAlign w:val="baseline"/>
        </w:rPr>
        <w:t xml:space="preserve">Here, neither the State nor appellant contest that the arresting officer conducted the stop approximately sixty-eight miles from the border. Accordingly, this factor weighs in favor of appellant. </w:t>
      </w:r>
    </w:p>
    <w:p>
      <w:pPr>
        <w:keepNext w:val="0"/>
        <w:spacing w:before="200" w:after="0" w:line="260" w:lineRule="atLeast"/>
        <w:ind w:left="0" w:right="0" w:firstLine="0"/>
        <w:jc w:val="both"/>
      </w:pPr>
      <w:bookmarkStart w:id="51" w:name="Bookmark_para_12"/>
      <w:bookmarkEnd w:id="51"/>
      <w:r>
        <w:rPr>
          <w:rFonts w:ascii="arial" w:eastAsia="arial" w:hAnsi="arial" w:cs="arial"/>
          <w:b/>
          <w:i/>
          <w:strike w:val="0"/>
          <w:noProof w:val="0"/>
          <w:color w:val="000000"/>
          <w:position w:val="0"/>
          <w:sz w:val="20"/>
          <w:u w:val="none"/>
          <w:vertAlign w:val="baseline"/>
        </w:rPr>
        <w:t>Officer's Previous Experience</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bookmarkStart w:id="52" w:name="Bookmark_para_13"/>
      <w:bookmarkEnd w:id="52"/>
      <w:r>
        <w:rPr>
          <w:rFonts w:ascii="arial" w:eastAsia="arial" w:hAnsi="arial" w:cs="arial"/>
          <w:b w:val="0"/>
          <w:i w:val="0"/>
          <w:strike w:val="0"/>
          <w:noProof w:val="0"/>
          <w:color w:val="000000"/>
          <w:position w:val="0"/>
          <w:sz w:val="20"/>
          <w:u w:val="none"/>
          <w:vertAlign w:val="baseline"/>
        </w:rPr>
        <w:t>Agent Fitzgerald testified that in his four years of experience as a Border Patrol Agent, crew-cab trucks missing a backseat, similar to that which the appellant drove, invariably indicate the stowage of illegal aliens or narcotics. Fitzgerald testified, "I've never seen a vehicle that was modified in such a way that was not used for either transporting illegal aliens or narcotics."</w:t>
      </w:r>
    </w:p>
    <w:p>
      <w:pPr>
        <w:keepNext w:val="0"/>
        <w:spacing w:before="240" w:after="0" w:line="260" w:lineRule="atLeast"/>
        <w:ind w:left="0" w:right="0" w:firstLine="0"/>
        <w:jc w:val="both"/>
      </w:pPr>
      <w:bookmarkStart w:id="53" w:name="Bookmark_para_14"/>
      <w:bookmarkEnd w:id="53"/>
      <w:r>
        <w:rPr>
          <w:rFonts w:ascii="arial" w:eastAsia="arial" w:hAnsi="arial" w:cs="arial"/>
          <w:b w:val="0"/>
          <w:i w:val="0"/>
          <w:strike w:val="0"/>
          <w:noProof w:val="0"/>
          <w:color w:val="000000"/>
          <w:position w:val="0"/>
          <w:sz w:val="20"/>
          <w:u w:val="none"/>
          <w:vertAlign w:val="baseline"/>
        </w:rPr>
        <w:t>Appellant stresses that Agent Fitzgerald was not a credible witness because</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he only conducted one other narcotics arrest. </w:t>
      </w:r>
      <w:bookmarkStart w:id="54" w:name="Bookmark_I4F7NWJ90K1MND1FK0000400"/>
      <w:bookmarkEnd w:id="54"/>
      <w:r>
        <w:rPr>
          <w:rFonts w:ascii="arial" w:eastAsia="arial" w:hAnsi="arial" w:cs="arial"/>
          <w:b w:val="0"/>
          <w:i w:val="0"/>
          <w:strike w:val="0"/>
          <w:noProof w:val="0"/>
          <w:color w:val="000000"/>
          <w:position w:val="0"/>
          <w:sz w:val="20"/>
          <w:u w:val="none"/>
          <w:vertAlign w:val="baseline"/>
        </w:rPr>
        <w:t xml:space="preserve">Further, appellant argued that Agent Fitzgerald's testimony lacked credibility because the State failed to introduce the number of stops the agent made per week and the success rate of these stops. These allegations are unpersuasive on appeal because </w:t>
      </w:r>
      <w:bookmarkStart w:id="55" w:name="Bookmark_LNHNREFclscc4"/>
      <w:bookmarkEnd w:id="55"/>
      <w:hyperlink r:id="rId27"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36" type="#_x0000_t75" style="width:10.5pt;height:10.5pt">
              <v:imagedata r:id="rId18" o:title=""/>
            </v:shape>
          </w:pict>
        </w:r>
      </w:hyperlink>
      <w:r>
        <w:rPr>
          <w:rFonts w:ascii="arial" w:eastAsia="arial" w:hAnsi="arial" w:cs="arial"/>
          <w:b w:val="0"/>
          <w:i w:val="0"/>
          <w:strike w:val="0"/>
          <w:noProof w:val="0"/>
          <w:color w:val="000000"/>
          <w:position w:val="0"/>
          <w:sz w:val="20"/>
          <w:u w:val="none"/>
          <w:vertAlign w:val="baseline"/>
        </w:rPr>
        <w:t xml:space="preserve">] the trial judge is the sole and exclusive trier of facts and the judge of the credibility of witnesses at suppression hearings. </w:t>
      </w:r>
      <w:r>
        <w:rPr>
          <w:rFonts w:ascii="arial" w:eastAsia="arial" w:hAnsi="arial" w:cs="arial"/>
          <w:b w:val="0"/>
          <w:i/>
          <w:strike w:val="0"/>
          <w:noProof w:val="0"/>
          <w:color w:val="000000"/>
          <w:position w:val="0"/>
          <w:sz w:val="20"/>
          <w:u w:val="none"/>
          <w:vertAlign w:val="baseline"/>
        </w:rPr>
        <w:t xml:space="preserve">See </w:t>
      </w:r>
      <w:bookmarkStart w:id="56" w:name="Bookmark_I4F7NWJ90K1MND1FJ0000400"/>
      <w:bookmarkEnd w:id="56"/>
      <w:hyperlink r:id="rId28" w:history="1">
        <w:r>
          <w:rPr>
            <w:rFonts w:ascii="arial" w:eastAsia="arial" w:hAnsi="arial" w:cs="arial"/>
            <w:b w:val="0"/>
            <w:i/>
            <w:strike w:val="0"/>
            <w:noProof w:val="0"/>
            <w:color w:val="0077CC"/>
            <w:position w:val="0"/>
            <w:sz w:val="20"/>
            <w:u w:val="single"/>
            <w:vertAlign w:val="baseline"/>
          </w:rPr>
          <w:t xml:space="preserve">Allridge v. State, </w:t>
        </w:r>
      </w:hyperlink>
      <w:hyperlink r:id="rId28" w:history="1">
        <w:r>
          <w:rPr>
            <w:rFonts w:ascii="arial" w:eastAsia="arial" w:hAnsi="arial" w:cs="arial"/>
            <w:b w:val="0"/>
            <w:i/>
            <w:strike w:val="0"/>
            <w:noProof w:val="0"/>
            <w:color w:val="0077CC"/>
            <w:position w:val="0"/>
            <w:sz w:val="20"/>
            <w:u w:val="single"/>
            <w:vertAlign w:val="baseline"/>
          </w:rPr>
          <w:t>850 S.W.2d 471, 492 (Tex. Crim. App. 1991)</w:t>
        </w:r>
      </w:hyperlink>
      <w:r>
        <w:rPr>
          <w:rFonts w:ascii="arial" w:eastAsia="arial" w:hAnsi="arial" w:cs="arial"/>
          <w:b w:val="0"/>
          <w:i w:val="0"/>
          <w:strike w:val="0"/>
          <w:noProof w:val="0"/>
          <w:color w:val="000000"/>
          <w:position w:val="0"/>
          <w:sz w:val="20"/>
          <w:u w:val="none"/>
          <w:vertAlign w:val="baseline"/>
        </w:rPr>
        <w:t>.</w:t>
      </w:r>
    </w:p>
    <w:p/>
    <w:p>
      <w:pPr>
        <w:keepNext w:val="0"/>
        <w:spacing w:before="240" w:after="0" w:line="260" w:lineRule="atLeast"/>
        <w:ind w:left="0" w:right="0" w:firstLine="0"/>
        <w:jc w:val="both"/>
      </w:pPr>
      <w:r>
        <w:rPr>
          <w:rFonts w:ascii="arial" w:eastAsia="arial" w:hAnsi="arial" w:cs="arial"/>
          <w:b/>
          <w:i/>
          <w:strike w:val="0"/>
          <w:noProof w:val="0"/>
          <w:color w:val="000000"/>
          <w:position w:val="0"/>
          <w:sz w:val="20"/>
          <w:u w:val="none"/>
          <w:vertAlign w:val="baseline"/>
        </w:rPr>
        <w:t>Driver's Behavior</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bookmarkStart w:id="57" w:name="Bookmark_para_15"/>
      <w:bookmarkEnd w:id="57"/>
      <w:r>
        <w:rPr>
          <w:rFonts w:ascii="arial" w:eastAsia="arial" w:hAnsi="arial" w:cs="arial"/>
          <w:b w:val="0"/>
          <w:i w:val="0"/>
          <w:strike w:val="0"/>
          <w:noProof w:val="0"/>
          <w:color w:val="000000"/>
          <w:position w:val="0"/>
          <w:sz w:val="20"/>
          <w:u w:val="none"/>
          <w:vertAlign w:val="baseline"/>
        </w:rPr>
        <w:t>As one of the stated reasons for the stop, Agent Fitzgerald noticed that appellant was traveling at a very low rate of speed when Fitzgerald first passed him. Fitzgerald testified that appellant traveled approximately fifty miles per hour on IH-35 where the stated speed limit was seventy miles per hour. Additionally, Fitzgerald observed that appellant appeared very tense and rigid. When Fitzgerald turned his vehicle around to follow appellant, he testified that appellant consistently looked in his rear-view mirror and weaved within his lane. Further, Fitzgerald testified that as he pulled alongside appellant's truck, appellant moved away from the wheel</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and attempted to position himself between the door jamb in between the front door and the crew-cab section of the truck. While glances in one's rear-view mirror do not necessarily constitute peculiar behavior, we agree that appellant's attempts to hide himself from Fitzgerald's view qualify as a suspicious activity.</w:t>
      </w:r>
    </w:p>
    <w:p>
      <w:pPr>
        <w:keepNext w:val="0"/>
        <w:spacing w:before="200" w:after="0" w:line="260" w:lineRule="atLeast"/>
        <w:ind w:left="0" w:right="0" w:firstLine="0"/>
        <w:jc w:val="both"/>
      </w:pPr>
      <w:bookmarkStart w:id="58" w:name="Bookmark_para_16"/>
      <w:bookmarkEnd w:id="58"/>
      <w:r>
        <w:rPr>
          <w:rFonts w:ascii="arial" w:eastAsia="arial" w:hAnsi="arial" w:cs="arial"/>
          <w:b/>
          <w:i/>
          <w:strike w:val="0"/>
          <w:noProof w:val="0"/>
          <w:color w:val="000000"/>
          <w:position w:val="0"/>
          <w:sz w:val="20"/>
          <w:u w:val="none"/>
          <w:vertAlign w:val="baseline"/>
        </w:rPr>
        <w:t>Physical Aspects of the Vehicle</w:t>
      </w:r>
    </w:p>
    <w:p>
      <w:pPr>
        <w:keepNext w:val="0"/>
        <w:spacing w:before="200" w:after="0" w:line="260" w:lineRule="atLeast"/>
        <w:ind w:left="0" w:right="0" w:firstLine="0"/>
        <w:jc w:val="both"/>
      </w:pPr>
      <w:bookmarkStart w:id="59" w:name="Bookmark_para_17"/>
      <w:bookmarkEnd w:id="59"/>
      <w:r>
        <w:rPr>
          <w:rFonts w:ascii="arial" w:eastAsia="arial" w:hAnsi="arial" w:cs="arial"/>
          <w:b w:val="0"/>
          <w:i w:val="0"/>
          <w:strike w:val="0"/>
          <w:noProof w:val="0"/>
          <w:color w:val="000000"/>
          <w:position w:val="0"/>
          <w:sz w:val="20"/>
          <w:u w:val="none"/>
          <w:vertAlign w:val="baseline"/>
        </w:rPr>
        <w:t>Fitzgerald cited the modification to the crew-cab's backseat as another articulated reason for conducting the stop. When Fitzgerald first passed appellant he observed that the back seat was missing. As discussed earlier, consistent with the agent's testimony regarding previous illegal alien and narcotics stops, often the back seat area of crew-cabs provides the stow-away location. In fact, Fitzgerald testified that in his experience as a Border Patrol Agent, never had he encountered a modification like that on appellant's truck which did not serve an illegal purpose.</w:t>
      </w:r>
    </w:p>
    <w:p>
      <w:pPr>
        <w:keepNext w:val="0"/>
        <w:spacing w:before="200" w:after="0" w:line="260" w:lineRule="atLeast"/>
        <w:ind w:left="0" w:right="0" w:firstLine="0"/>
        <w:jc w:val="both"/>
      </w:pPr>
      <w:bookmarkStart w:id="60" w:name="Bookmark_para_18"/>
      <w:bookmarkEnd w:id="60"/>
      <w:r>
        <w:rPr>
          <w:rFonts w:ascii="arial" w:eastAsia="arial" w:hAnsi="arial" w:cs="arial"/>
          <w:b/>
          <w:i/>
          <w:strike w:val="0"/>
          <w:noProof w:val="0"/>
          <w:color w:val="000000"/>
          <w:position w:val="0"/>
          <w:sz w:val="20"/>
          <w:u w:val="none"/>
          <w:vertAlign w:val="baseline"/>
        </w:rPr>
        <w:t>Vehicle Registration</w:t>
      </w:r>
    </w:p>
    <w:p>
      <w:pPr>
        <w:keepNext w:val="0"/>
        <w:spacing w:before="240" w:after="0" w:line="260" w:lineRule="atLeast"/>
        <w:ind w:left="0" w:right="0" w:firstLine="0"/>
        <w:jc w:val="both"/>
      </w:pPr>
      <w:bookmarkStart w:id="61" w:name="Bookmark_para_19"/>
      <w:bookmarkEnd w:id="61"/>
      <w:r>
        <w:rPr>
          <w:rFonts w:ascii="arial" w:eastAsia="arial" w:hAnsi="arial" w:cs="arial"/>
          <w:b w:val="0"/>
          <w:i w:val="0"/>
          <w:strike w:val="0"/>
          <w:noProof w:val="0"/>
          <w:color w:val="000000"/>
          <w:position w:val="0"/>
          <w:sz w:val="20"/>
          <w:u w:val="none"/>
          <w:vertAlign w:val="baseline"/>
        </w:rPr>
        <w:t xml:space="preserve">Prior to the stop, Fitzgerald ran a license and vehicle registration check on appellant's truck. </w:t>
      </w:r>
      <w:bookmarkStart w:id="62" w:name="Bookmark_I4F7NWJ90K1MND1FN0000400"/>
      <w:bookmarkEnd w:id="62"/>
      <w:r>
        <w:rPr>
          <w:rFonts w:ascii="arial" w:eastAsia="arial" w:hAnsi="arial" w:cs="arial"/>
          <w:b w:val="0"/>
          <w:i w:val="0"/>
          <w:strike w:val="0"/>
          <w:noProof w:val="0"/>
          <w:color w:val="000000"/>
          <w:position w:val="0"/>
          <w:sz w:val="20"/>
          <w:u w:val="none"/>
          <w:vertAlign w:val="baseline"/>
        </w:rPr>
        <w:t xml:space="preserve">Fitzgerald discovered the vehicle was registered in Edna, Texas. Fitzgerald testified that in his experience, several of the </w:t>
      </w:r>
      <w:r>
        <w:rPr>
          <w:rFonts w:ascii="arial" w:eastAsia="arial" w:hAnsi="arial" w:cs="arial"/>
          <w:b/>
          <w:i/>
          <w:strike w:val="0"/>
          <w:noProof w:val="0"/>
          <w:color w:val="000000"/>
          <w:position w:val="0"/>
          <w:sz w:val="20"/>
          <w:u w:val="single"/>
          <w:vertAlign w:val="baseline"/>
        </w:rPr>
        <w:t>alien-smuggling</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vehicles he apprehended in the past originated from Edna, a suburb of Dallas. </w:t>
      </w:r>
      <w:r>
        <w:rPr>
          <w:rFonts w:ascii="arial" w:eastAsia="arial" w:hAnsi="arial" w:cs="arial"/>
          <w:b w:val="0"/>
          <w:i/>
          <w:strike w:val="0"/>
          <w:noProof w:val="0"/>
          <w:color w:val="000000"/>
          <w:position w:val="0"/>
          <w:sz w:val="20"/>
          <w:u w:val="none"/>
          <w:vertAlign w:val="baseline"/>
        </w:rPr>
        <w:t xml:space="preserve">See </w:t>
      </w:r>
      <w:bookmarkStart w:id="63" w:name="Bookmark_I4F7NWJ90K1MND1FM0000400"/>
      <w:bookmarkEnd w:id="63"/>
      <w:hyperlink r:id="rId24" w:history="1">
        <w:r>
          <w:rPr>
            <w:rFonts w:ascii="arial" w:eastAsia="arial" w:hAnsi="arial" w:cs="arial"/>
            <w:b w:val="0"/>
            <w:i/>
            <w:strike w:val="0"/>
            <w:noProof w:val="0"/>
            <w:color w:val="0077CC"/>
            <w:position w:val="0"/>
            <w:sz w:val="20"/>
            <w:u w:val="single"/>
            <w:vertAlign w:val="baseline"/>
          </w:rPr>
          <w:t xml:space="preserve">Renteria, </w:t>
        </w:r>
      </w:hyperlink>
      <w:hyperlink r:id="rId24" w:history="1">
        <w:r>
          <w:rPr>
            <w:rFonts w:ascii="arial" w:eastAsia="arial" w:hAnsi="arial" w:cs="arial"/>
            <w:b w:val="0"/>
            <w:i/>
            <w:strike w:val="0"/>
            <w:noProof w:val="0"/>
            <w:color w:val="0077CC"/>
            <w:position w:val="0"/>
            <w:sz w:val="20"/>
            <w:u w:val="single"/>
            <w:vertAlign w:val="baseline"/>
          </w:rPr>
          <w:t>989 S.W.2d at 118</w:t>
        </w:r>
      </w:hyperlink>
      <w:r>
        <w:rPr>
          <w:rFonts w:ascii="arial" w:eastAsia="arial" w:hAnsi="arial" w:cs="arial"/>
          <w:b w:val="0"/>
          <w:i w:val="0"/>
          <w:strike w:val="0"/>
          <w:noProof w:val="0"/>
          <w:color w:val="000000"/>
          <w:position w:val="0"/>
          <w:sz w:val="20"/>
          <w:u w:val="none"/>
          <w:vertAlign w:val="baseline"/>
        </w:rPr>
        <w:t xml:space="preserve"> (citing border patrol's experience that many smugglers travel en route to larger cities such as Austin, San Antonio, and Dallas, and thus vehicle registration in Dallas to an individual other than the defendant contributed to patrol's decision to detain vehicle).</w:t>
      </w:r>
    </w:p>
    <w:p>
      <w:pPr>
        <w:keepNext w:val="0"/>
        <w:spacing w:before="200" w:after="0" w:line="260" w:lineRule="atLeast"/>
        <w:ind w:left="0" w:right="0" w:firstLine="0"/>
        <w:jc w:val="both"/>
      </w:pPr>
      <w:bookmarkStart w:id="64" w:name="Bookmark_para_20"/>
      <w:bookmarkEnd w:id="64"/>
      <w:r>
        <w:rPr>
          <w:rFonts w:ascii="arial" w:eastAsia="arial" w:hAnsi="arial" w:cs="arial"/>
          <w:b w:val="0"/>
          <w:i w:val="0"/>
          <w:strike w:val="0"/>
          <w:noProof w:val="0"/>
          <w:color w:val="000000"/>
          <w:position w:val="0"/>
          <w:sz w:val="20"/>
          <w:u w:val="none"/>
          <w:vertAlign w:val="baseline"/>
        </w:rPr>
        <w:t xml:space="preserve">When we consider all of these factors under the </w:t>
      </w:r>
      <w:r>
        <w:rPr>
          <w:rFonts w:ascii="arial" w:eastAsia="arial" w:hAnsi="arial" w:cs="arial"/>
          <w:b w:val="0"/>
          <w:i/>
          <w:strike w:val="0"/>
          <w:noProof w:val="0"/>
          <w:color w:val="000000"/>
          <w:position w:val="0"/>
          <w:sz w:val="20"/>
          <w:u w:val="none"/>
          <w:vertAlign w:val="baseline"/>
        </w:rPr>
        <w:t>Woods</w:t>
      </w:r>
      <w:r>
        <w:rPr>
          <w:rFonts w:ascii="arial" w:eastAsia="arial" w:hAnsi="arial" w:cs="arial"/>
          <w:b w:val="0"/>
          <w:i w:val="0"/>
          <w:strike w:val="0"/>
          <w:noProof w:val="0"/>
          <w:color w:val="000000"/>
          <w:position w:val="0"/>
          <w:sz w:val="20"/>
          <w:u w:val="none"/>
          <w:vertAlign w:val="baseline"/>
        </w:rPr>
        <w:t xml:space="preserve"> totality of the circumstances test, we hold the trial court properly determined that reasonable suspicion existed to justify the stop. The agent's experience, the vehicle's registration and physical characteristics, appellant's behavior, and the inferences that could be drawn from these facts, established reasonable suspicion. Accordingly, we overrule appellant's sole issue and affirm the trial court's judgment.</w:t>
      </w:r>
    </w:p>
    <w:p>
      <w:pPr>
        <w:keepNext w:val="0"/>
        <w:spacing w:before="200" w:after="0" w:line="260" w:lineRule="atLeast"/>
        <w:ind w:left="0" w:right="0" w:firstLine="0"/>
        <w:jc w:val="both"/>
      </w:pPr>
      <w:bookmarkStart w:id="65" w:name="Bookmark_para_21"/>
      <w:bookmarkEnd w:id="65"/>
      <w:r>
        <w:rPr>
          <w:rFonts w:ascii="arial" w:eastAsia="arial" w:hAnsi="arial" w:cs="arial"/>
          <w:b w:val="0"/>
          <w:i w:val="0"/>
          <w:strike w:val="0"/>
          <w:noProof w:val="0"/>
          <w:color w:val="000000"/>
          <w:position w:val="0"/>
          <w:sz w:val="20"/>
          <w:u w:val="none"/>
          <w:vertAlign w:val="baseline"/>
        </w:rPr>
        <w:t xml:space="preserve">Catherine Stone, Justice </w:t>
      </w:r>
    </w:p>
    <w:p/>
    <w:p>
      <w:pPr>
        <w:ind w:left="200"/>
      </w:pPr>
      <w:r>
        <w:br/>
      </w:r>
      <w:r>
        <w:pict>
          <v:line id="_x0000_s1037"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37" w:name="Bookmark_fnpara_1"/>
      <w:bookmarkEnd w:id="37"/>
      <w:bookmarkStart w:id="38" w:name="Bookmark_I4F7NWJ90K1MND1DM0000400"/>
      <w:bookmarkEnd w:id="38"/>
      <w:r>
        <w:rPr>
          <w:rFonts w:ascii="arial" w:eastAsia="arial" w:hAnsi="arial" w:cs="arial"/>
          <w:b w:val="0"/>
          <w:i w:val="0"/>
          <w:strike w:val="0"/>
          <w:noProof w:val="0"/>
          <w:color w:val="000000"/>
          <w:position w:val="0"/>
          <w:sz w:val="18"/>
          <w:u w:val="none"/>
          <w:vertAlign w:val="baseline"/>
        </w:rPr>
        <w:t xml:space="preserve">In </w:t>
      </w:r>
      <w:bookmarkStart w:id="39" w:name="Bookmark_I4F7NWJ90K1MND1DK0000400"/>
      <w:bookmarkEnd w:id="39"/>
      <w:hyperlink r:id="rId1" w:history="1">
        <w:r>
          <w:rPr>
            <w:rFonts w:ascii="arial" w:eastAsia="arial" w:hAnsi="arial" w:cs="arial"/>
            <w:b w:val="0"/>
            <w:i/>
            <w:strike w:val="0"/>
            <w:noProof w:val="0"/>
            <w:color w:val="0077CC"/>
            <w:position w:val="0"/>
            <w:sz w:val="18"/>
            <w:u w:val="single"/>
            <w:vertAlign w:val="baseline"/>
          </w:rPr>
          <w:t xml:space="preserve">Woods v. State, </w:t>
        </w:r>
      </w:hyperlink>
      <w:hyperlink r:id="rId1" w:history="1">
        <w:r>
          <w:rPr>
            <w:rFonts w:ascii="arial" w:eastAsia="arial" w:hAnsi="arial" w:cs="arial"/>
            <w:b w:val="0"/>
            <w:i/>
            <w:strike w:val="0"/>
            <w:noProof w:val="0"/>
            <w:color w:val="0077CC"/>
            <w:position w:val="0"/>
            <w:sz w:val="18"/>
            <w:u w:val="single"/>
            <w:vertAlign w:val="baseline"/>
          </w:rPr>
          <w:t>956 S.W.2d 33, 38 (Tex. Crim. App. 1997)</w:t>
        </w:r>
      </w:hyperlink>
      <w:r>
        <w:rPr>
          <w:rFonts w:ascii="arial" w:eastAsia="arial" w:hAnsi="arial" w:cs="arial"/>
          <w:b w:val="0"/>
          <w:i w:val="0"/>
          <w:strike w:val="0"/>
          <w:noProof w:val="0"/>
          <w:color w:val="000000"/>
          <w:position w:val="0"/>
          <w:sz w:val="18"/>
          <w:u w:val="none"/>
          <w:vertAlign w:val="baseline"/>
        </w:rPr>
        <w:t xml:space="preserve">, the Texas Court of Criminal Appeals established a new reasonableness standard in evaluating roving patrol stops. The </w:t>
      </w:r>
      <w:r>
        <w:rPr>
          <w:rFonts w:ascii="arial" w:eastAsia="arial" w:hAnsi="arial" w:cs="arial"/>
          <w:b w:val="0"/>
          <w:i/>
          <w:strike w:val="0"/>
          <w:noProof w:val="0"/>
          <w:color w:val="000000"/>
          <w:position w:val="0"/>
          <w:sz w:val="18"/>
          <w:u w:val="none"/>
          <w:vertAlign w:val="baseline"/>
        </w:rPr>
        <w:t xml:space="preserve">Woods </w:t>
      </w:r>
      <w:r>
        <w:rPr>
          <w:rFonts w:ascii="arial" w:eastAsia="arial" w:hAnsi="arial" w:cs="arial"/>
          <w:b w:val="0"/>
          <w:i w:val="0"/>
          <w:strike w:val="0"/>
          <w:noProof w:val="0"/>
          <w:color w:val="000000"/>
          <w:position w:val="0"/>
          <w:sz w:val="18"/>
          <w:u w:val="none"/>
          <w:vertAlign w:val="baseline"/>
        </w:rPr>
        <w:t xml:space="preserve">court eliminated the former "consistent with innocent activity as with criminal activity" test for reasonable suspicion and set out the "totality of the circumstances" test as the current standard.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Martinez-Romero v. State, 2000 Tex. App. LEXIS 1045</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3YKD-JR50-0039-452X-00000-00&amp;context=1519360&amp;link=LNHNREFclscc1" TargetMode="External" /><Relationship Id="rId11" Type="http://schemas.openxmlformats.org/officeDocument/2006/relationships/image" Target="media/image2.png" /><Relationship Id="rId12" Type="http://schemas.openxmlformats.org/officeDocument/2006/relationships/hyperlink" Target="https://advance.lexis.com/api/document?collection=cases&amp;id=urn:contentItem:3YKD-JR50-0039-452X-00000-00&amp;context=1519360&amp;link=LNHNREFclscc2" TargetMode="External" /><Relationship Id="rId13" Type="http://schemas.openxmlformats.org/officeDocument/2006/relationships/hyperlink" Target="https://advance.lexis.com/api/document?collection=statutes-legislation&amp;id=urn:contentItem:8T9R-T3H2-D6RV-H37G-00000-00&amp;context=1519360" TargetMode="External" /><Relationship Id="rId14" Type="http://schemas.openxmlformats.org/officeDocument/2006/relationships/hyperlink" Target="https://advance.lexis.com/api/document?collection=statutes-legislation&amp;id=urn:contentItem:5DF0-03X1-JW8X-V15Y-00000-00&amp;context=1519360" TargetMode="External" /><Relationship Id="rId15" Type="http://schemas.openxmlformats.org/officeDocument/2006/relationships/hyperlink" Target="https://advance.lexis.com/api/document?collection=cases&amp;id=urn:contentItem:3YKD-JR50-0039-452X-00000-00&amp;context=1519360&amp;link=LNHNREFclscc3" TargetMode="External" /><Relationship Id="rId16" Type="http://schemas.openxmlformats.org/officeDocument/2006/relationships/hyperlink" Target="https://advance.lexis.com/api/document?collection=cases&amp;id=urn:contentItem:3YKD-JR50-0039-452X-00000-00&amp;context=1519360&amp;link=LNHNREFclscc4" TargetMode="External" /><Relationship Id="rId17" Type="http://schemas.openxmlformats.org/officeDocument/2006/relationships/hyperlink" Target="https://advance.lexis.com/api/document?collection=cases&amp;id=urn:contentItem:3YKD-JR50-0039-452X-00000-00&amp;context=1519360&amp;link=clscc1" TargetMode="External" /><Relationship Id="rId18" Type="http://schemas.openxmlformats.org/officeDocument/2006/relationships/image" Target="media/image3.png" /><Relationship Id="rId19" Type="http://schemas.openxmlformats.org/officeDocument/2006/relationships/hyperlink" Target="https://advance.lexis.com/api/document?collection=cases&amp;id=urn:contentItem:3S3D-HXM0-0039-41P5-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S3V-GB70-0039-41TS-00000-00&amp;context=1519360" TargetMode="External" /><Relationship Id="rId21" Type="http://schemas.openxmlformats.org/officeDocument/2006/relationships/hyperlink" Target="https://advance.lexis.com/api/document?collection=cases&amp;id=urn:contentItem:3YKD-JR50-0039-452X-00000-00&amp;context=1519360&amp;link=clscc2" TargetMode="External" /><Relationship Id="rId22" Type="http://schemas.openxmlformats.org/officeDocument/2006/relationships/hyperlink" Target="https://advance.lexis.com/api/document?collection=cases&amp;id=urn:contentItem:3S3J-XPV0-003C-2183-00000-00&amp;context=1519360" TargetMode="External" /><Relationship Id="rId23" Type="http://schemas.openxmlformats.org/officeDocument/2006/relationships/hyperlink" Target="https://advance.lexis.com/api/document?collection=cases&amp;id=urn:contentItem:3S4X-BDV0-003B-S1TF-00000-00&amp;context=1519360" TargetMode="External" /><Relationship Id="rId24" Type="http://schemas.openxmlformats.org/officeDocument/2006/relationships/hyperlink" Target="https://advance.lexis.com/api/document?collection=cases&amp;id=urn:contentItem:3VNP-1FP0-0039-4210-00000-00&amp;context=1519360" TargetMode="External" /><Relationship Id="rId25" Type="http://schemas.openxmlformats.org/officeDocument/2006/relationships/hyperlink" Target="https://advance.lexis.com/api/document?collection=cases&amp;id=urn:contentItem:3YKD-JR50-0039-452X-00000-00&amp;context=1519360&amp;link=clscc3" TargetMode="External" /><Relationship Id="rId26" Type="http://schemas.openxmlformats.org/officeDocument/2006/relationships/hyperlink" Target="https://advance.lexis.com/api/document?collection=cases&amp;id=urn:contentItem:3S4W-XGK0-003B-G2T8-00000-00&amp;context=1519360" TargetMode="External" /><Relationship Id="rId27" Type="http://schemas.openxmlformats.org/officeDocument/2006/relationships/hyperlink" Target="https://advance.lexis.com/api/document?collection=cases&amp;id=urn:contentItem:3YKD-JR50-0039-452X-00000-00&amp;context=1519360&amp;link=clscc4" TargetMode="External" /><Relationship Id="rId28" Type="http://schemas.openxmlformats.org/officeDocument/2006/relationships/hyperlink" Target="https://advance.lexis.com/api/document?collection=cases&amp;id=urn:contentItem:3S3J-WVB0-003C-2018-00000-00&amp;context=1519360" TargetMode="External" /><Relationship Id="rId29" Type="http://schemas.openxmlformats.org/officeDocument/2006/relationships/theme" Target="theme/theme1.xml" /><Relationship Id="rId3" Type="http://schemas.openxmlformats.org/officeDocument/2006/relationships/webSettings" Target="webSettings.xml" /><Relationship Id="rId30"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3YKD-JR50-0039-452X-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3RFG-64H0-0039-40GC-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Martinez-Romero v. State, 2000 Tex. App. LEXIS 1045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74</vt:lpwstr>
  </property>
  <property fmtid="{D5CDD505-2E9C-101B-9397-08002B2CF9AE}" pid="3" name="LADocCount">
    <vt:lpwstr>1</vt:lpwstr>
  </property>
  <property fmtid="{D5CDD505-2E9C-101B-9397-08002B2CF9AE}" pid="4" name="LADocumentID:74">
    <vt:lpwstr>Doc::urn:hlct:5|contextualFeaturePermID::1519360</vt:lpwstr>
  </property>
  <property fmtid="{D5CDD505-2E9C-101B-9397-08002B2CF9AE}" pid="5" name="UserPermID">
    <vt:lpwstr>urn:user:PA186186298</vt:lpwstr>
  </property>
</Properties>
</file>