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Gaona-Tovar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October 21, 2004,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No. 04-40118 Conference Calendar </w:t>
      </w:r>
    </w:p>
    <w:p>
      <w:pPr>
        <w:keepNext w:val="0"/>
        <w:spacing w:after="0" w:line="240" w:lineRule="atLeast"/>
        <w:ind w:right="0"/>
        <w:jc w:val="both"/>
      </w:pPr>
      <w:bookmarkStart w:id="0" w:name="Bookmark_5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110 Fed. Appx. 438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2004 U.S. App. LEXIS 21895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ANGEL MARTIN GAONA-TOVAR,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RULES OF THE FIFTH CIRCUIT COURT OF APPEALS MAY LIMIT CITATION TO UNPUBLISHED OPINIONS. PLEASE REFER TO THE RULES OF THE UNITED STATES COURT OF APPEALS FOR THIS CIRCUIT.  </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Vacated by, Remanded by, Motion granted by </w:t>
      </w:r>
      <w:hyperlink r:id="rId10" w:history="1">
        <w:r>
          <w:rPr>
            <w:rFonts w:ascii="arial" w:eastAsia="arial" w:hAnsi="arial" w:cs="arial"/>
            <w:b w:val="0"/>
            <w:i/>
            <w:strike w:val="0"/>
            <w:noProof w:val="0"/>
            <w:color w:val="0077CC"/>
            <w:position w:val="0"/>
            <w:sz w:val="20"/>
            <w:u w:val="single"/>
            <w:vertAlign w:val="baseline"/>
          </w:rPr>
          <w:t>Gaona-Tovar v. United States, 125 S. Ct. 1612, 161 L. Ed. 2d 273, 2005 U.S. LEXIS 2221 (U.S., 2005)</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US Supreme Court certiorari denied by </w:t>
      </w:r>
      <w:hyperlink r:id="rId11" w:history="1">
        <w:r>
          <w:rPr>
            <w:rFonts w:ascii="arial" w:eastAsia="arial" w:hAnsi="arial" w:cs="arial"/>
            <w:b w:val="0"/>
            <w:i/>
            <w:strike w:val="0"/>
            <w:noProof w:val="0"/>
            <w:color w:val="0077CC"/>
            <w:position w:val="0"/>
            <w:sz w:val="20"/>
            <w:u w:val="single"/>
            <w:vertAlign w:val="baseline"/>
          </w:rPr>
          <w:t>Gaona-Tovar v. United States, 2006 U.S. LEXIS 2408 (U.S., Mar. 20, 2006)</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val="0"/>
          <w:i w:val="0"/>
          <w:strike w:val="0"/>
          <w:noProof w:val="0"/>
          <w:color w:val="000000"/>
          <w:position w:val="0"/>
          <w:sz w:val="20"/>
          <w:u w:val="none"/>
          <w:vertAlign w:val="baseline"/>
        </w:rPr>
        <w:t xml:space="preserve">Appeal from the United States District Court for the Southern District of Texas.  USDC No. L-03-CR-1309-ALL.  </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5"/>
      <w:bookmarkEnd w:id="8"/>
      <w:r>
        <w:rPr>
          <w:rFonts w:ascii="arial" w:eastAsia="arial" w:hAnsi="arial" w:cs="arial"/>
          <w:b w:val="0"/>
          <w:i w:val="0"/>
          <w:strike w:val="0"/>
          <w:noProof w:val="0"/>
          <w:color w:val="000000"/>
          <w:position w:val="0"/>
          <w:sz w:val="20"/>
          <w:u w:val="none"/>
          <w:vertAlign w:val="baseline"/>
        </w:rPr>
        <w:t xml:space="preserve">Affirmed. We remand to the district court for correction of judgment.  </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foreclosed, reentry, conviction and sentence, aggravated felony, district court, deportation, overrule, argues, alien</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Courts &gt; Judicial Precedent</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3"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Courts, Judicial Precedent</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The court of appeals must follow United States Supreme Court precedent unless and until the Supreme Court itself determines to overrule it.</w:t>
      </w:r>
    </w:p>
    <w:p>
      <w:pPr>
        <w:keepNext w:val="0"/>
        <w:spacing w:before="240" w:after="0" w:line="260" w:lineRule="atLeast"/>
        <w:ind w:left="0" w:right="0" w:firstLine="0"/>
        <w:jc w:val="left"/>
      </w:pPr>
      <w:bookmarkStart w:id="13" w:name="Counsel"/>
      <w:bookmarkEnd w:id="1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Mitchel Neurock, US Attorney's Office, Southern District of Texas,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and James Lee Turner, Assistant US Attorney, US Attorney's Office, Southern District of Texas, Houston, TX, for Plaintiff-Appellee UNITED STATES OF AMERICA.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Marjorie A. Myers, Federal Public Defender, Laura Fletcher Leavitt, Assistant Federal Public Defender, and David Castillo, Federal Public Defender's Office, Southern District of Texas, Houston, TX, for Defendant-Appellant ANGEL MARTIN GAONA-TOVAR.  </w:t>
      </w:r>
    </w:p>
    <w:p>
      <w:pPr>
        <w:keepNext w:val="0"/>
        <w:spacing w:before="240" w:after="0" w:line="260" w:lineRule="atLeast"/>
        <w:ind w:left="0" w:right="0" w:firstLine="0"/>
        <w:jc w:val="left"/>
      </w:pPr>
      <w:bookmarkStart w:id="14" w:name="Judges"/>
      <w:bookmarkEnd w:id="1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JOLLY, JONES, and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WIENER, Circuit Judges.  </w:t>
      </w:r>
    </w:p>
    <w:p>
      <w:pPr>
        <w:keepNext/>
        <w:spacing w:before="240" w:after="0" w:line="340" w:lineRule="atLeast"/>
        <w:ind w:left="0" w:right="0" w:firstLine="0"/>
        <w:jc w:val="left"/>
      </w:pPr>
      <w:bookmarkStart w:id="15" w:name="Opinion"/>
      <w:bookmarkEnd w:id="15"/>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9"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6" w:name="Bookmark_para_3"/>
      <w:bookmarkEnd w:id="16"/>
      <w:r>
        <w:rPr>
          <w:rFonts w:ascii="arial" w:eastAsia="arial" w:hAnsi="arial" w:cs="arial"/>
          <w:b/>
          <w:i w:val="0"/>
          <w:strike w:val="0"/>
          <w:noProof w:val="0"/>
          <w:color w:val="000000"/>
          <w:position w:val="0"/>
          <w:sz w:val="20"/>
          <w:u w:val="none"/>
          <w:vertAlign w:val="baseline"/>
        </w:rPr>
        <w:t> [*438] </w:t>
      </w:r>
      <w:r>
        <w:rPr>
          <w:rFonts w:ascii="arial" w:eastAsia="arial" w:hAnsi="arial" w:cs="arial"/>
          <w:b w:val="0"/>
          <w:i w:val="0"/>
          <w:strike w:val="0"/>
          <w:noProof w:val="0"/>
          <w:color w:val="000000"/>
          <w:position w:val="0"/>
          <w:sz w:val="20"/>
          <w:u w:val="none"/>
          <w:vertAlign w:val="baseline"/>
        </w:rPr>
        <w:t xml:space="preserve"> PER CURIAM:</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18" w:name="Bookmark_para_4"/>
      <w:bookmarkEnd w:id="18"/>
      <w:bookmarkStart w:id="19" w:name="Bookmark_I0WRNSG7W9X0003X8MR00068"/>
      <w:bookmarkEnd w:id="19"/>
      <w:bookmarkStart w:id="20" w:name="Bookmark_I4F2YPDD0K1MND43D0000400"/>
      <w:bookmarkEnd w:id="20"/>
      <w:r>
        <w:rPr>
          <w:rFonts w:ascii="arial" w:eastAsia="arial" w:hAnsi="arial" w:cs="arial"/>
          <w:b w:val="0"/>
          <w:i w:val="0"/>
          <w:strike w:val="0"/>
          <w:noProof w:val="0"/>
          <w:color w:val="000000"/>
          <w:position w:val="0"/>
          <w:sz w:val="20"/>
          <w:u w:val="none"/>
          <w:vertAlign w:val="baseline"/>
        </w:rPr>
        <w:t xml:space="preserve">Angel Martin Gaona-Tovar appeals his conviction and sentence following his guilty plea conviction for attempted illegal reentry into the United States subsequent to deportation following a conviction for an aggravated felony, in violation of </w:t>
      </w:r>
      <w:hyperlink r:id="rId14" w:history="1">
        <w:r>
          <w:rPr>
            <w:rFonts w:ascii="arial" w:eastAsia="arial" w:hAnsi="arial" w:cs="arial"/>
            <w:b w:val="0"/>
            <w:i/>
            <w:strike w:val="0"/>
            <w:noProof w:val="0"/>
            <w:color w:val="0077CC"/>
            <w:position w:val="0"/>
            <w:sz w:val="20"/>
            <w:u w:val="single"/>
            <w:vertAlign w:val="baseline"/>
          </w:rPr>
          <w:t>8 U.S.C. § 1326</w:t>
        </w:r>
      </w:hyperlink>
      <w:r>
        <w:rPr>
          <w:rFonts w:ascii="arial" w:eastAsia="arial" w:hAnsi="arial" w:cs="arial"/>
          <w:b w:val="0"/>
          <w:i w:val="0"/>
          <w:strike w:val="0"/>
          <w:noProof w:val="0"/>
          <w:color w:val="000000"/>
          <w:position w:val="0"/>
          <w:sz w:val="20"/>
          <w:u w:val="none"/>
          <w:vertAlign w:val="baseline"/>
        </w:rPr>
        <w:t xml:space="preserve">. Gaona-Tovar argues that the district court erred by enhancing his base offense level sixteen levels pursuant to </w:t>
      </w:r>
      <w:hyperlink r:id="rId15" w:history="1">
        <w:r>
          <w:rPr>
            <w:rFonts w:ascii="arial" w:eastAsia="arial" w:hAnsi="arial" w:cs="arial"/>
            <w:b w:val="0"/>
            <w:i/>
            <w:strike w:val="0"/>
            <w:noProof w:val="0"/>
            <w:color w:val="0077CC"/>
            <w:position w:val="0"/>
            <w:sz w:val="20"/>
            <w:u w:val="single"/>
            <w:vertAlign w:val="baseline"/>
          </w:rPr>
          <w:t>U.S.S.G. § 2L1.2(b)(1)(A)(vii)</w:t>
        </w:r>
      </w:hyperlink>
      <w:r>
        <w:rPr>
          <w:rFonts w:ascii="arial" w:eastAsia="arial" w:hAnsi="arial" w:cs="arial"/>
          <w:b w:val="0"/>
          <w:i w:val="0"/>
          <w:strike w:val="0"/>
          <w:noProof w:val="0"/>
          <w:color w:val="000000"/>
          <w:position w:val="0"/>
          <w:sz w:val="20"/>
          <w:u w:val="none"/>
          <w:vertAlign w:val="baseline"/>
        </w:rPr>
        <w:t xml:space="preserve">, based on a determination that his prior conviction for transporting an unlawful alien was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offense. As Gaona-Tovar concedes, his argument is foreclosed by </w:t>
      </w:r>
      <w:bookmarkStart w:id="21" w:name="Bookmark_I4F2YPDD0K1MND43C0000400"/>
      <w:bookmarkEnd w:id="21"/>
      <w:hyperlink r:id="rId16" w:history="1">
        <w:r>
          <w:rPr>
            <w:rFonts w:ascii="arial" w:eastAsia="arial" w:hAnsi="arial" w:cs="arial"/>
            <w:b w:val="0"/>
            <w:i/>
            <w:strike w:val="0"/>
            <w:noProof w:val="0"/>
            <w:color w:val="0077CC"/>
            <w:position w:val="0"/>
            <w:sz w:val="20"/>
            <w:u w:val="single"/>
            <w:vertAlign w:val="baseline"/>
          </w:rPr>
          <w:t>United States v. Solis-Campozano</w:t>
        </w:r>
      </w:hyperlink>
      <w:hyperlink r:id="rId16" w:history="1">
        <w:r>
          <w:rPr>
            <w:rFonts w:ascii="arial" w:eastAsia="arial" w:hAnsi="arial" w:cs="arial"/>
            <w:b w:val="0"/>
            <w:i/>
            <w:strike w:val="0"/>
            <w:noProof w:val="0"/>
            <w:color w:val="0077CC"/>
            <w:position w:val="0"/>
            <w:sz w:val="20"/>
            <w:u w:val="single"/>
            <w:vertAlign w:val="baseline"/>
          </w:rPr>
          <w:t>, 312 F.3d 164, 167-68 (5th Cir.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538 U.S. 991, 155 L. Ed. 2d 689, 123 S. Ct. 1811 (2003)</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bookmarkStart w:id="22" w:name="Bookmark_para_5"/>
      <w:bookmarkEnd w:id="22"/>
      <w:bookmarkStart w:id="23" w:name="Bookmark_I0WRNSG81520003X8MR00069"/>
      <w:bookmarkEnd w:id="23"/>
      <w:bookmarkStart w:id="24" w:name="Bookmark_I4F2YPDD0K1MND43G0000400"/>
      <w:bookmarkEnd w:id="24"/>
      <w:r>
        <w:rPr>
          <w:rFonts w:ascii="arial" w:eastAsia="arial" w:hAnsi="arial" w:cs="arial"/>
          <w:b w:val="0"/>
          <w:i w:val="0"/>
          <w:strike w:val="0"/>
          <w:noProof w:val="0"/>
          <w:color w:val="000000"/>
          <w:position w:val="0"/>
          <w:sz w:val="20"/>
          <w:u w:val="none"/>
          <w:vertAlign w:val="baseline"/>
        </w:rPr>
        <w:t>For the first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time on appeal, Gaona-Tovar argues that </w:t>
      </w:r>
      <w:hyperlink r:id="rId14" w:history="1">
        <w:r>
          <w:rPr>
            <w:rFonts w:ascii="arial" w:eastAsia="arial" w:hAnsi="arial" w:cs="arial"/>
            <w:b w:val="0"/>
            <w:i/>
            <w:strike w:val="0"/>
            <w:noProof w:val="0"/>
            <w:color w:val="0077CC"/>
            <w:position w:val="0"/>
            <w:sz w:val="20"/>
            <w:u w:val="single"/>
            <w:vertAlign w:val="baseline"/>
          </w:rPr>
          <w:t>8 U.S.C. § 1326(b)</w:t>
        </w:r>
      </w:hyperlink>
      <w:r>
        <w:rPr>
          <w:rFonts w:ascii="arial" w:eastAsia="arial" w:hAnsi="arial" w:cs="arial"/>
          <w:b w:val="0"/>
          <w:i w:val="0"/>
          <w:strike w:val="0"/>
          <w:noProof w:val="0"/>
          <w:color w:val="000000"/>
          <w:position w:val="0"/>
          <w:sz w:val="20"/>
          <w:u w:val="none"/>
          <w:vertAlign w:val="baseline"/>
        </w:rPr>
        <w:t xml:space="preserve"> is unconstitutional on its face and as applied in his case because it does not require the fact of a prior felony or aggravated felony conviction to be charged in the indictment and proved beyond a reasonable doubt. </w:t>
      </w:r>
      <w:bookmarkStart w:id="25" w:name="Bookmark_I4F2YPDD0K1MND4450000400"/>
      <w:bookmarkEnd w:id="25"/>
      <w:r>
        <w:rPr>
          <w:rFonts w:ascii="arial" w:eastAsia="arial" w:hAnsi="arial" w:cs="arial"/>
          <w:b w:val="0"/>
          <w:i w:val="0"/>
          <w:strike w:val="0"/>
          <w:noProof w:val="0"/>
          <w:color w:val="000000"/>
          <w:position w:val="0"/>
          <w:sz w:val="20"/>
          <w:u w:val="none"/>
          <w:vertAlign w:val="baseline"/>
        </w:rPr>
        <w:t xml:space="preserve">Gaona-Tovar acknowledges that his arguments are foreclosed by </w:t>
      </w:r>
      <w:bookmarkStart w:id="26" w:name="Bookmark_I4F2YPDD0K1MND43F0000400"/>
      <w:bookmarkEnd w:id="26"/>
      <w:hyperlink r:id="rId17" w:history="1">
        <w:r>
          <w:rPr>
            <w:rFonts w:ascii="arial" w:eastAsia="arial" w:hAnsi="arial" w:cs="arial"/>
            <w:b w:val="0"/>
            <w:i/>
            <w:strike w:val="0"/>
            <w:noProof w:val="0"/>
            <w:color w:val="0077CC"/>
            <w:position w:val="0"/>
            <w:sz w:val="20"/>
            <w:u w:val="single"/>
            <w:vertAlign w:val="baseline"/>
          </w:rPr>
          <w:t>Almendarez-Torres v. United States</w:t>
        </w:r>
      </w:hyperlink>
      <w:hyperlink r:id="rId17" w:history="1">
        <w:r>
          <w:rPr>
            <w:rFonts w:ascii="arial" w:eastAsia="arial" w:hAnsi="arial" w:cs="arial"/>
            <w:b w:val="0"/>
            <w:i/>
            <w:strike w:val="0"/>
            <w:noProof w:val="0"/>
            <w:color w:val="0077CC"/>
            <w:position w:val="0"/>
            <w:sz w:val="20"/>
            <w:u w:val="single"/>
            <w:vertAlign w:val="baseline"/>
          </w:rPr>
          <w:t>, 523 U.S. 224, 140 L. Ed. 2d 350, 118 S. Ct. 1219 (1998)</w:t>
        </w:r>
      </w:hyperlink>
      <w:r>
        <w:rPr>
          <w:rFonts w:ascii="arial" w:eastAsia="arial" w:hAnsi="arial" w:cs="arial"/>
          <w:b w:val="0"/>
          <w:i w:val="0"/>
          <w:strike w:val="0"/>
          <w:noProof w:val="0"/>
          <w:color w:val="000000"/>
          <w:position w:val="0"/>
          <w:sz w:val="20"/>
          <w:u w:val="none"/>
          <w:vertAlign w:val="baseline"/>
        </w:rPr>
        <w:t xml:space="preserve">, but he wishes to preserve the issues for Supreme Court review in light of </w:t>
      </w:r>
      <w:bookmarkStart w:id="27" w:name="Bookmark_I4F2YPDD0K1MND43H0000400"/>
      <w:bookmarkEnd w:id="27"/>
      <w:hyperlink r:id="rId18" w:history="1">
        <w:r>
          <w:rPr>
            <w:rFonts w:ascii="arial" w:eastAsia="arial" w:hAnsi="arial" w:cs="arial"/>
            <w:b w:val="0"/>
            <w:i/>
            <w:strike w:val="0"/>
            <w:noProof w:val="0"/>
            <w:color w:val="0077CC"/>
            <w:position w:val="0"/>
            <w:sz w:val="20"/>
            <w:u w:val="single"/>
            <w:vertAlign w:val="baseline"/>
          </w:rPr>
          <w:t>Apprendi v. New Jersey</w:t>
        </w:r>
      </w:hyperlink>
      <w:hyperlink r:id="rId18" w:history="1">
        <w:r>
          <w:rPr>
            <w:rFonts w:ascii="arial" w:eastAsia="arial" w:hAnsi="arial" w:cs="arial"/>
            <w:b w:val="0"/>
            <w:i/>
            <w:strike w:val="0"/>
            <w:noProof w:val="0"/>
            <w:color w:val="0077CC"/>
            <w:position w:val="0"/>
            <w:sz w:val="20"/>
            <w:u w:val="single"/>
            <w:vertAlign w:val="baseline"/>
          </w:rPr>
          <w:t>, 530 U.S. 466, 147 L. Ed. 2d 435, 120 S. Ct. 2348 (2000)</w:t>
        </w:r>
      </w:hyperlink>
      <w:r>
        <w:rPr>
          <w:rFonts w:ascii="arial" w:eastAsia="arial" w:hAnsi="arial" w:cs="arial"/>
          <w:b w:val="0"/>
          <w:i w:val="0"/>
          <w:strike w:val="0"/>
          <w:noProof w:val="0"/>
          <w:color w:val="000000"/>
          <w:position w:val="0"/>
          <w:sz w:val="20"/>
          <w:u w:val="none"/>
          <w:vertAlign w:val="baseline"/>
        </w:rPr>
        <w:t xml:space="preserve">. </w:t>
      </w:r>
      <w:bookmarkStart w:id="28" w:name="Bookmark_I4F2YPDD0K1MND44N0000400"/>
      <w:bookmarkEnd w:id="28"/>
      <w:r>
        <w:rPr>
          <w:rFonts w:ascii="arial" w:eastAsia="arial" w:hAnsi="arial" w:cs="arial"/>
          <w:b w:val="0"/>
          <w:i/>
          <w:strike w:val="0"/>
          <w:noProof w:val="0"/>
          <w:color w:val="000000"/>
          <w:position w:val="0"/>
          <w:sz w:val="20"/>
          <w:u w:val="none"/>
          <w:vertAlign w:val="baseline"/>
        </w:rPr>
        <w:t>Apprendi</w:t>
      </w:r>
      <w:r>
        <w:rPr>
          <w:rFonts w:ascii="arial" w:eastAsia="arial" w:hAnsi="arial" w:cs="arial"/>
          <w:b w:val="0"/>
          <w:i w:val="0"/>
          <w:strike w:val="0"/>
          <w:noProof w:val="0"/>
          <w:color w:val="000000"/>
          <w:position w:val="0"/>
          <w:sz w:val="20"/>
          <w:u w:val="none"/>
          <w:vertAlign w:val="baseline"/>
        </w:rPr>
        <w:t xml:space="preserve"> did not overrule </w:t>
      </w:r>
      <w:r>
        <w:rPr>
          <w:rFonts w:ascii="arial" w:eastAsia="arial" w:hAnsi="arial" w:cs="arial"/>
          <w:b w:val="0"/>
          <w:i/>
          <w:strike w:val="0"/>
          <w:noProof w:val="0"/>
          <w:color w:val="000000"/>
          <w:position w:val="0"/>
          <w:sz w:val="20"/>
          <w:u w:val="none"/>
          <w:vertAlign w:val="baseline"/>
        </w:rPr>
        <w:t>Almendarez-Torres</w:t>
      </w:r>
      <w:r>
        <w:rPr>
          <w:rFonts w:ascii="arial" w:eastAsia="arial" w:hAnsi="arial" w:cs="arial"/>
          <w:b w:val="0"/>
          <w:i w:val="0"/>
          <w:strike w:val="0"/>
          <w:noProof w:val="0"/>
          <w:color w:val="000000"/>
          <w:position w:val="0"/>
          <w:sz w:val="20"/>
          <w:u w:val="none"/>
          <w:vertAlign w:val="baseline"/>
        </w:rPr>
        <w:t xml:space="preserve">. </w:t>
      </w:r>
      <w:bookmarkStart w:id="29" w:name="Bookmark_I4F2YPDD0K1MND44N0000400_2"/>
      <w:bookmarkEnd w:id="29"/>
      <w:bookmarkStart w:id="30" w:name="Bookmark_I4F2YPDD0K1MND4450000400_2"/>
      <w:bookmarkEnd w:id="30"/>
      <w:r>
        <w:rPr>
          <w:rFonts w:ascii="arial" w:eastAsia="arial" w:hAnsi="arial" w:cs="arial"/>
          <w:b w:val="0"/>
          <w:i/>
          <w:strike w:val="0"/>
          <w:noProof w:val="0"/>
          <w:color w:val="000000"/>
          <w:position w:val="0"/>
          <w:sz w:val="20"/>
          <w:u w:val="none"/>
          <w:vertAlign w:val="baseline"/>
        </w:rPr>
        <w:t xml:space="preserve">See </w:t>
      </w:r>
      <w:bookmarkStart w:id="31" w:name="Bookmark_I4F2YPDD0K1MND4440000400"/>
      <w:bookmarkEnd w:id="31"/>
      <w:hyperlink r:id="rId18" w:history="1">
        <w:r>
          <w:rPr>
            <w:rFonts w:ascii="arial" w:eastAsia="arial" w:hAnsi="arial" w:cs="arial"/>
            <w:b w:val="0"/>
            <w:i/>
            <w:strike w:val="0"/>
            <w:noProof w:val="0"/>
            <w:color w:val="0077CC"/>
            <w:position w:val="0"/>
            <w:sz w:val="20"/>
            <w:u w:val="single"/>
            <w:vertAlign w:val="baseline"/>
          </w:rPr>
          <w:t>Apprendi</w:t>
        </w:r>
      </w:hyperlink>
      <w:hyperlink r:id="rId18" w:history="1">
        <w:r>
          <w:rPr>
            <w:rFonts w:ascii="arial" w:eastAsia="arial" w:hAnsi="arial" w:cs="arial"/>
            <w:b w:val="0"/>
            <w:i/>
            <w:strike w:val="0"/>
            <w:noProof w:val="0"/>
            <w:color w:val="0077CC"/>
            <w:position w:val="0"/>
            <w:sz w:val="20"/>
            <w:u w:val="single"/>
            <w:vertAlign w:val="baseline"/>
          </w:rPr>
          <w:t>, 530 U.S. at 489-90</w:t>
        </w:r>
      </w:hyperlink>
      <w:r>
        <w:rPr>
          <w:rFonts w:ascii="arial" w:eastAsia="arial" w:hAnsi="arial" w:cs="arial"/>
          <w:b w:val="0"/>
          <w:i w:val="0"/>
          <w:strike w:val="0"/>
          <w:noProof w:val="0"/>
          <w:color w:val="000000"/>
          <w:position w:val="0"/>
          <w:sz w:val="20"/>
          <w:u w:val="none"/>
          <w:vertAlign w:val="baseline"/>
        </w:rPr>
        <w:t xml:space="preserve">; </w:t>
      </w:r>
      <w:bookmarkStart w:id="32" w:name="Bookmark_I4F2YPDD0K1MND4460000400"/>
      <w:bookmarkEnd w:id="32"/>
      <w:hyperlink r:id="rId19" w:history="1">
        <w:r>
          <w:rPr>
            <w:rFonts w:ascii="arial" w:eastAsia="arial" w:hAnsi="arial" w:cs="arial"/>
            <w:b w:val="0"/>
            <w:i/>
            <w:strike w:val="0"/>
            <w:noProof w:val="0"/>
            <w:color w:val="0077CC"/>
            <w:position w:val="0"/>
            <w:sz w:val="20"/>
            <w:u w:val="single"/>
            <w:vertAlign w:val="baseline"/>
          </w:rPr>
          <w:t>United States v. Dabeit</w:t>
        </w:r>
      </w:hyperlink>
      <w:hyperlink r:id="rId19" w:history="1">
        <w:r>
          <w:rPr>
            <w:rFonts w:ascii="arial" w:eastAsia="arial" w:hAnsi="arial" w:cs="arial"/>
            <w:b w:val="0"/>
            <w:i/>
            <w:strike w:val="0"/>
            <w:noProof w:val="0"/>
            <w:color w:val="0077CC"/>
            <w:position w:val="0"/>
            <w:sz w:val="20"/>
            <w:u w:val="single"/>
            <w:vertAlign w:val="baseline"/>
          </w:rPr>
          <w:t>, 231 F.3d 979, 984 (5th Cir. 2000)</w:t>
        </w:r>
      </w:hyperlink>
      <w:r>
        <w:rPr>
          <w:rFonts w:ascii="arial" w:eastAsia="arial" w:hAnsi="arial" w:cs="arial"/>
          <w:b w:val="0"/>
          <w:i w:val="0"/>
          <w:strike w:val="0"/>
          <w:noProof w:val="0"/>
          <w:color w:val="000000"/>
          <w:position w:val="0"/>
          <w:sz w:val="20"/>
          <w:u w:val="none"/>
          <w:vertAlign w:val="baseline"/>
        </w:rPr>
        <w:t xml:space="preserve">. Thus, </w:t>
      </w:r>
      <w:bookmarkStart w:id="33" w:name="Bookmark_LNHNREFclscc1"/>
      <w:bookmarkEnd w:id="33"/>
      <w:hyperlink r:id="rId20"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0"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we must follow </w:t>
      </w:r>
      <w:r>
        <w:rPr>
          <w:rFonts w:ascii="arial" w:eastAsia="arial" w:hAnsi="arial" w:cs="arial"/>
          <w:b w:val="0"/>
          <w:i/>
          <w:strike w:val="0"/>
          <w:noProof w:val="0"/>
          <w:color w:val="000000"/>
          <w:position w:val="0"/>
          <w:sz w:val="20"/>
          <w:u w:val="none"/>
          <w:vertAlign w:val="baseline"/>
        </w:rPr>
        <w:t>Almendarez-Torres</w:t>
      </w:r>
      <w:r>
        <w:rPr>
          <w:rFonts w:ascii="arial" w:eastAsia="arial" w:hAnsi="arial" w:cs="arial"/>
          <w:b w:val="0"/>
          <w:i w:val="0"/>
          <w:strike w:val="0"/>
          <w:noProof w:val="0"/>
          <w:color w:val="000000"/>
          <w:position w:val="0"/>
          <w:sz w:val="20"/>
          <w:u w:val="none"/>
          <w:vertAlign w:val="baseline"/>
        </w:rPr>
        <w:t xml:space="preserve"> "unless and until the Supreme Court itself determines to overrule it." </w:t>
      </w:r>
      <w:bookmarkStart w:id="34" w:name="Bookmark_I4F2YPDD0K1MND44M0000400"/>
      <w:bookmarkEnd w:id="34"/>
      <w:hyperlink r:id="rId19" w:history="1">
        <w:r>
          <w:rPr>
            <w:rFonts w:ascii="arial" w:eastAsia="arial" w:hAnsi="arial" w:cs="arial"/>
            <w:b w:val="0"/>
            <w:i/>
            <w:strike w:val="0"/>
            <w:noProof w:val="0"/>
            <w:color w:val="0077CC"/>
            <w:position w:val="0"/>
            <w:sz w:val="20"/>
            <w:u w:val="single"/>
            <w:vertAlign w:val="baseline"/>
          </w:rPr>
          <w:t>Dabeit</w:t>
        </w:r>
      </w:hyperlink>
      <w:hyperlink r:id="rId19" w:history="1">
        <w:r>
          <w:rPr>
            <w:rFonts w:ascii="arial" w:eastAsia="arial" w:hAnsi="arial" w:cs="arial"/>
            <w:b w:val="0"/>
            <w:i/>
            <w:strike w:val="0"/>
            <w:noProof w:val="0"/>
            <w:color w:val="0077CC"/>
            <w:position w:val="0"/>
            <w:sz w:val="20"/>
            <w:u w:val="single"/>
            <w:vertAlign w:val="baseline"/>
          </w:rPr>
          <w:t>, 231 F.3d at 984</w:t>
        </w:r>
      </w:hyperlink>
      <w:r>
        <w:rPr>
          <w:rFonts w:ascii="arial" w:eastAsia="arial" w:hAnsi="arial" w:cs="arial"/>
          <w:b w:val="0"/>
          <w:i w:val="0"/>
          <w:strike w:val="0"/>
          <w:noProof w:val="0"/>
          <w:color w:val="000000"/>
          <w:position w:val="0"/>
          <w:sz w:val="20"/>
          <w:u w:val="none"/>
          <w:vertAlign w:val="baseline"/>
        </w:rPr>
        <w:t xml:space="preserve"> (internal quotation marks and citation omitted).</w:t>
      </w:r>
    </w:p>
    <w:p>
      <w:pPr>
        <w:keepNext w:val="0"/>
        <w:spacing w:before="240" w:after="0" w:line="260" w:lineRule="atLeast"/>
        <w:ind w:left="0" w:right="0" w:firstLine="0"/>
        <w:jc w:val="both"/>
      </w:pPr>
      <w:bookmarkStart w:id="35" w:name="Bookmark_para_6"/>
      <w:bookmarkEnd w:id="35"/>
      <w:r>
        <w:rPr>
          <w:rFonts w:ascii="arial" w:eastAsia="arial" w:hAnsi="arial" w:cs="arial"/>
          <w:b w:val="0"/>
          <w:i w:val="0"/>
          <w:strike w:val="0"/>
          <w:noProof w:val="0"/>
          <w:color w:val="000000"/>
          <w:position w:val="0"/>
          <w:sz w:val="20"/>
          <w:u w:val="none"/>
          <w:vertAlign w:val="baseline"/>
        </w:rPr>
        <w:t xml:space="preserve">Accordingly, Gaona-Tovar's arguments are foreclosed, and his conviction and sentence are AFFIRMED. We REMAND to the district court for correction of the judgment pursuant to </w:t>
      </w:r>
      <w:hyperlink r:id="rId22" w:history="1">
        <w:r>
          <w:rPr>
            <w:rFonts w:ascii="arial" w:eastAsia="arial" w:hAnsi="arial" w:cs="arial"/>
            <w:b w:val="0"/>
            <w:i/>
            <w:strike w:val="0"/>
            <w:noProof w:val="0"/>
            <w:color w:val="0077CC"/>
            <w:position w:val="0"/>
            <w:sz w:val="20"/>
            <w:u w:val="single"/>
            <w:vertAlign w:val="baseline"/>
          </w:rPr>
          <w:t>FED. R. CRIM. P. 36</w:t>
        </w:r>
      </w:hyperlink>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to reflect that Gaona-Tovar was convicted of a violation of </w:t>
      </w:r>
      <w:hyperlink r:id="rId14" w:history="1">
        <w:r>
          <w:rPr>
            <w:rFonts w:ascii="arial" w:eastAsia="arial" w:hAnsi="arial" w:cs="arial"/>
            <w:b w:val="0"/>
            <w:i/>
            <w:strike w:val="0"/>
            <w:noProof w:val="0"/>
            <w:color w:val="0077CC"/>
            <w:position w:val="0"/>
            <w:sz w:val="20"/>
            <w:u w:val="single"/>
            <w:vertAlign w:val="baseline"/>
          </w:rPr>
          <w:t>8 U.S.C. § 1326</w:t>
        </w:r>
      </w:hyperlink>
      <w:r>
        <w:rPr>
          <w:rFonts w:ascii="arial" w:eastAsia="arial" w:hAnsi="arial" w:cs="arial"/>
          <w:b w:val="0"/>
          <w:i w:val="0"/>
          <w:strike w:val="0"/>
          <w:noProof w:val="0"/>
          <w:color w:val="000000"/>
          <w:position w:val="0"/>
          <w:sz w:val="20"/>
          <w:u w:val="none"/>
          <w:vertAlign w:val="baseline"/>
        </w:rPr>
        <w:t xml:space="preserve"> for attempted illegal reentry, not illegal reentry, into the United States after deportation. </w:t>
      </w:r>
    </w:p>
    <w:p/>
    <w:p>
      <w:pPr>
        <w:ind w:left="200"/>
      </w:pPr>
      <w:r>
        <w:br/>
      </w:r>
      <w:r>
        <w:pict>
          <v:line id="_x0000_s103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7" w:name="Bookmark_fnpara_1"/>
      <w:bookmarkEnd w:id="17"/>
      <w:r>
        <w:rPr>
          <w:rFonts w:ascii="arial" w:eastAsia="arial" w:hAnsi="arial" w:cs="arial"/>
          <w:b w:val="0"/>
          <w:i w:val="0"/>
          <w:strike w:val="0"/>
          <w:noProof w:val="0"/>
          <w:color w:val="000000"/>
          <w:position w:val="0"/>
          <w:sz w:val="18"/>
          <w:u w:val="none"/>
          <w:vertAlign w:val="baseline"/>
        </w:rPr>
        <w:t>Pursuant to 5TH CIR. R. 47.5, the court has determined that this opinion should not be published and is not precedent except under the limited circumstances set forth in 5TH CIR. R. 47.5.4.</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Gaona-Tovar, 110 Fed. Appx. 438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4FN0-MNF0-0060-81YK-00000-00&amp;context=1519360" TargetMode="External" /><Relationship Id="rId11" Type="http://schemas.openxmlformats.org/officeDocument/2006/relationships/hyperlink" Target="https://advance.lexis.com/api/document?collection=cases&amp;id=urn:contentItem:4JHK-KGK0-0060-850H-00000-00&amp;context=1519360" TargetMode="External" /><Relationship Id="rId12" Type="http://schemas.openxmlformats.org/officeDocument/2006/relationships/hyperlink" Target="https://advance.lexis.com/api/document?collection=cases&amp;id=urn:contentItem:4DKV-MPN0-0038-X43Y-00000-00&amp;context=1519360&amp;link=LNHNREFclscc1" TargetMode="External" /><Relationship Id="rId13" Type="http://schemas.openxmlformats.org/officeDocument/2006/relationships/image" Target="media/image2.png" /><Relationship Id="rId14" Type="http://schemas.openxmlformats.org/officeDocument/2006/relationships/hyperlink" Target="https://advance.lexis.com/api/document?collection=statutes-legislation&amp;id=urn:contentItem:8S6M-T0S2-D6RV-H4B1-00000-00&amp;context=1519360" TargetMode="External" /><Relationship Id="rId15" Type="http://schemas.openxmlformats.org/officeDocument/2006/relationships/hyperlink" Target="https://advance.lexis.com/api/document?collection=statutes-legislation&amp;id=urn:contentItem:69KS-0WY3-S13X-P1SR-00000-00&amp;context=1519360" TargetMode="External" /><Relationship Id="rId16" Type="http://schemas.openxmlformats.org/officeDocument/2006/relationships/hyperlink" Target="https://advance.lexis.com/api/document?collection=cases&amp;id=urn:contentItem:476T-GRG0-0038-X4CG-00000-00&amp;context=1519360" TargetMode="External" /><Relationship Id="rId17" Type="http://schemas.openxmlformats.org/officeDocument/2006/relationships/hyperlink" Target="https://advance.lexis.com/api/document?collection=cases&amp;id=urn:contentItem:3S9B-KFD0-004B-Y001-00000-00&amp;context=1519360" TargetMode="External" /><Relationship Id="rId18" Type="http://schemas.openxmlformats.org/officeDocument/2006/relationships/hyperlink" Target="https://advance.lexis.com/api/document?collection=cases&amp;id=urn:contentItem:40K8-K3R0-004C-0027-00000-00&amp;context=1519360" TargetMode="External" /><Relationship Id="rId19" Type="http://schemas.openxmlformats.org/officeDocument/2006/relationships/hyperlink" Target="https://advance.lexis.com/api/document?collection=cases&amp;id=urn:contentItem:41JC-5DV0-0038-X0H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DKV-MPN0-0038-X43Y-00000-00&amp;context=1519360&amp;link=clscc1" TargetMode="External" /><Relationship Id="rId21" Type="http://schemas.openxmlformats.org/officeDocument/2006/relationships/image" Target="media/image3.png" /><Relationship Id="rId22" Type="http://schemas.openxmlformats.org/officeDocument/2006/relationships/hyperlink" Target="https://advance.lexis.com/api/document?collection=statutes-legislation&amp;id=urn:contentItem:5GYC-2731-FG36-13X6-00000-00&amp;context=1519360"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4DKV-MPN0-0038-X43Y-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Gaona-Tovar, 110 Fed. Appx. 438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vt:lpwstr>
  </property>
  <property fmtid="{D5CDD505-2E9C-101B-9397-08002B2CF9AE}" pid="3" name="LADocCount">
    <vt:lpwstr>1</vt:lpwstr>
  </property>
  <property fmtid="{D5CDD505-2E9C-101B-9397-08002B2CF9AE}" pid="4" name="LADocumentID:50">
    <vt:lpwstr>Doc::urn:hlct:5|contextualFeaturePermID::1519360</vt:lpwstr>
  </property>
  <property fmtid="{D5CDD505-2E9C-101B-9397-08002B2CF9AE}" pid="5" name="UserPermID">
    <vt:lpwstr>urn:user:PA186186298</vt:lpwstr>
  </property>
</Properties>
</file>