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Santos-Sanchez v. Holder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2014,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08-60469</w:t>
      </w:r>
    </w:p>
    <w:p>
      <w:pPr>
        <w:keepNext w:val="0"/>
        <w:spacing w:after="0" w:line="240" w:lineRule="atLeast"/>
        <w:ind w:right="0"/>
        <w:jc w:val="both"/>
      </w:pPr>
      <w:bookmarkStart w:id="0" w:name="Bookmark_2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744 F.3d 391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2014 U.S. App. LEXIS 4304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2014 WL 902868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JESUS NATIVIDAD SANTOS-SANCHEZ, Petitioner v. ERIC H. HOLDER, JR., U. S. ATTORNEY GENERAL, Respondent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bookmarkStart w:id="3" w:name="Bookmark_para_1"/>
      <w:bookmarkEnd w:id="3"/>
      <w:r>
        <w:rPr>
          <w:rFonts w:ascii="arial" w:eastAsia="arial" w:hAnsi="arial" w:cs="arial"/>
          <w:b w:val="0"/>
          <w:i w:val="0"/>
          <w:strike w:val="0"/>
          <w:noProof w:val="0"/>
          <w:color w:val="000000"/>
          <w:position w:val="0"/>
          <w:sz w:val="20"/>
          <w:u w:val="none"/>
          <w:vertAlign w:val="baseline"/>
        </w:rPr>
        <w:t>Petition for Review of an Order of the Board of Immigration Appeals.</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documents, abetting, alien, transporting, illegal entry, guilty plea, convicted, aiding</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Evidence &gt; Burdens of Proof &gt; Burden of Government</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Burden of Government</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The government is required to establish the grounds of removability by clear, unequivocal, and convincing evidence.</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De Novo Standard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Substantial Evidence</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Standard of Review</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An appellate court reviews factual conclusions of the Board of Immigration Appeals (BIA) for substantial evidence. It reviews questions of law de novo, with deference to the BIA's interpretations of ambiguous provisions of the Immigration and Nationality Act.</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General Overview</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Offenses, Illegal Entry</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 xml:space="preserve">See </w:t>
      </w:r>
      <w:hyperlink r:id="rId14" w:history="1">
        <w:r>
          <w:rPr>
            <w:rFonts w:ascii="arial" w:eastAsia="arial" w:hAnsi="arial" w:cs="arial"/>
            <w:b w:val="0"/>
            <w:i/>
            <w:strike w:val="0"/>
            <w:noProof w:val="0"/>
            <w:color w:val="0077CC"/>
            <w:position w:val="0"/>
            <w:sz w:val="20"/>
            <w:u w:val="single"/>
            <w:vertAlign w:val="baseline"/>
          </w:rPr>
          <w:t>8 U.S.C.S. § 1325(a)</w:t>
        </w:r>
      </w:hyperlink>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Grounds for Deportation &amp; Removal &gt; Criminal Activity &gt; Enumerated Statutory Crimes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Activity, Enumerated Statutory Crimes</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 xml:space="preserve">See </w:t>
      </w:r>
      <w:hyperlink r:id="rId16" w:history="1">
        <w:r>
          <w:rPr>
            <w:rFonts w:ascii="arial" w:eastAsia="arial" w:hAnsi="arial" w:cs="arial"/>
            <w:b w:val="0"/>
            <w:i/>
            <w:strike w:val="0"/>
            <w:noProof w:val="0"/>
            <w:color w:val="0077CC"/>
            <w:position w:val="0"/>
            <w:sz w:val="20"/>
            <w:u w:val="single"/>
            <w:vertAlign w:val="baseline"/>
          </w:rPr>
          <w:t>8 U.S.C.S. § 1227(a)(1)(E)(i)</w:t>
        </w:r>
      </w:hyperlink>
      <w:r>
        <w:rPr>
          <w:rFonts w:ascii="arial" w:eastAsia="arial" w:hAnsi="arial" w:cs="arial"/>
          <w:b w:val="0"/>
          <w:i w:val="0"/>
          <w:strike w:val="0"/>
          <w:noProof w:val="0"/>
          <w:color w:val="000000"/>
          <w:position w:val="0"/>
          <w:sz w:val="20"/>
          <w:u w:val="none"/>
          <w:vertAlign w:val="baseline"/>
        </w:rPr>
        <w:t>.</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Court Records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Administrative Proceedings &gt; Evidence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Grounds for Deportation &amp; Removal &gt; Criminal Activity &gt; General Overview</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Court Records</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 xml:space="preserve">In the context of removal proceedings, </w:t>
      </w:r>
      <w:hyperlink r:id="rId18" w:history="1">
        <w:r>
          <w:rPr>
            <w:rFonts w:ascii="arial" w:eastAsia="arial" w:hAnsi="arial" w:cs="arial"/>
            <w:b w:val="0"/>
            <w:i/>
            <w:strike w:val="0"/>
            <w:noProof w:val="0"/>
            <w:color w:val="0077CC"/>
            <w:position w:val="0"/>
            <w:sz w:val="20"/>
            <w:u w:val="single"/>
            <w:vertAlign w:val="baseline"/>
          </w:rPr>
          <w:t>8 U.S.C.S. § 1229a(c)(3)(B)</w:t>
        </w:r>
      </w:hyperlink>
      <w:r>
        <w:rPr>
          <w:rFonts w:ascii="arial" w:eastAsia="arial" w:hAnsi="arial" w:cs="arial"/>
          <w:b w:val="0"/>
          <w:i w:val="0"/>
          <w:strike w:val="0"/>
          <w:noProof w:val="0"/>
          <w:color w:val="000000"/>
          <w:position w:val="0"/>
          <w:sz w:val="20"/>
          <w:u w:val="none"/>
          <w:vertAlign w:val="baseline"/>
        </w:rPr>
        <w:t xml:space="preserve"> provides that an official record of judgment and conviction shall constitute proof of a criminal conviction.</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Grounds for Deportation &amp; Removal &gt; Criminal Activity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Grounds for Deportation &amp; Removal, Criminal Activity</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Collateral attacks on the alien's prior conviction are not permitted in an appeal of a removal order.</w:t>
      </w:r>
    </w:p>
    <w:p>
      <w:pPr>
        <w:keepNext w:val="0"/>
        <w:spacing w:before="240" w:after="0" w:line="260" w:lineRule="atLeast"/>
        <w:ind w:left="0" w:right="0" w:firstLine="0"/>
        <w:jc w:val="left"/>
      </w:pPr>
      <w:bookmarkStart w:id="18" w:name="Counsel"/>
      <w:bookmarkEnd w:id="1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JESUS NATIVIDAD SANTOS-SANCHEZ, Petitioner: Matthew Paul Nickson,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ERIC H. HOLDER, JR., U. S. ATTORNEY GENERAL, Respondent: Karen Y. Stewart, Tangerlia Cox, U.S. Department of Justice, Office of Immigration Litigation, Washington, DC; Kenneth L. Pasquarell, Acting District Director, U.S. Immigration &amp; Naturalization Service, District Director's Office, San Antonio, TX.</w:t>
      </w:r>
    </w:p>
    <w:p>
      <w:pPr>
        <w:keepNext w:val="0"/>
        <w:spacing w:before="240" w:after="0" w:line="260" w:lineRule="atLeast"/>
        <w:ind w:left="0" w:right="0" w:firstLine="0"/>
        <w:jc w:val="left"/>
      </w:pPr>
      <w:bookmarkStart w:id="19" w:name="Judges"/>
      <w:bookmarkEnd w:id="1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KING, CLEMENT, and GRAVES, Circuit Judges.</w:t>
      </w:r>
    </w:p>
    <w:p>
      <w:pPr>
        <w:keepNext w:val="0"/>
        <w:spacing w:before="240" w:after="0" w:line="260" w:lineRule="atLeast"/>
        <w:ind w:left="0" w:right="0" w:firstLine="0"/>
        <w:jc w:val="left"/>
      </w:pPr>
      <w:bookmarkStart w:id="20" w:name="Opinion by"/>
      <w:bookmarkEnd w:id="2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JAMES E. GRAVES, JR.</w:t>
      </w:r>
    </w:p>
    <w:p>
      <w:pPr>
        <w:keepNext/>
        <w:spacing w:before="240" w:after="0" w:line="340" w:lineRule="atLeast"/>
        <w:ind w:left="0" w:right="0" w:firstLine="0"/>
        <w:jc w:val="left"/>
      </w:pPr>
      <w:bookmarkStart w:id="21" w:name="Opinion"/>
      <w:bookmarkEnd w:id="2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2" w:name="Bookmark_para_2"/>
      <w:bookmarkEnd w:id="22"/>
      <w:r>
        <w:rPr>
          <w:rFonts w:ascii="arial" w:eastAsia="arial" w:hAnsi="arial" w:cs="arial"/>
          <w:b/>
          <w:i w:val="0"/>
          <w:strike w:val="0"/>
          <w:noProof w:val="0"/>
          <w:color w:val="000000"/>
          <w:position w:val="0"/>
          <w:sz w:val="20"/>
          <w:u w:val="none"/>
          <w:vertAlign w:val="baseline"/>
        </w:rPr>
        <w:t> [*392] </w:t>
      </w:r>
      <w:r>
        <w:rPr>
          <w:rFonts w:ascii="arial" w:eastAsia="arial" w:hAnsi="arial" w:cs="arial"/>
          <w:b w:val="0"/>
          <w:i w:val="0"/>
          <w:strike w:val="0"/>
          <w:noProof w:val="0"/>
          <w:color w:val="000000"/>
          <w:position w:val="0"/>
          <w:sz w:val="20"/>
          <w:u w:val="none"/>
          <w:vertAlign w:val="baseline"/>
        </w:rPr>
        <w:t xml:space="preserve"> JAMES E. GRAVES, JR., Circuit Judge:</w:t>
      </w:r>
    </w:p>
    <w:p>
      <w:pPr>
        <w:keepNext w:val="0"/>
        <w:spacing w:before="240" w:after="0" w:line="260" w:lineRule="atLeast"/>
        <w:ind w:left="0" w:right="0" w:firstLine="0"/>
        <w:jc w:val="both"/>
      </w:pPr>
      <w:bookmarkStart w:id="23" w:name="Bookmark_para_3"/>
      <w:bookmarkEnd w:id="23"/>
      <w:r>
        <w:rPr>
          <w:rFonts w:ascii="arial" w:eastAsia="arial" w:hAnsi="arial" w:cs="arial"/>
          <w:b w:val="0"/>
          <w:i w:val="0"/>
          <w:strike w:val="0"/>
          <w:noProof w:val="0"/>
          <w:color w:val="000000"/>
          <w:position w:val="0"/>
          <w:sz w:val="20"/>
          <w:u w:val="none"/>
          <w:vertAlign w:val="baseline"/>
        </w:rPr>
        <w:t xml:space="preserve">This is a petition for review from a BIA decision dismissing Jesus Natividad Santos-Sanchez's ("Santos") appeal from a removal order. The BIA determined that Santos's conviction for aiding and abetting improper entry under </w:t>
      </w:r>
      <w:hyperlink r:id="rId14" w:history="1">
        <w:r>
          <w:rPr>
            <w:rFonts w:ascii="arial" w:eastAsia="arial" w:hAnsi="arial" w:cs="arial"/>
            <w:b w:val="0"/>
            <w:i/>
            <w:strike w:val="0"/>
            <w:noProof w:val="0"/>
            <w:color w:val="0077CC"/>
            <w:position w:val="0"/>
            <w:sz w:val="20"/>
            <w:u w:val="single"/>
            <w:vertAlign w:val="baseline"/>
          </w:rPr>
          <w:t>8 U.S.C. § 1325(a)</w:t>
        </w:r>
      </w:hyperlink>
      <w:r>
        <w:rPr>
          <w:rFonts w:ascii="arial" w:eastAsia="arial" w:hAnsi="arial" w:cs="arial"/>
          <w:b w:val="0"/>
          <w:i w:val="0"/>
          <w:strike w:val="0"/>
          <w:noProof w:val="0"/>
          <w:color w:val="000000"/>
          <w:position w:val="0"/>
          <w:sz w:val="20"/>
          <w:u w:val="none"/>
          <w:vertAlign w:val="baseline"/>
        </w:rPr>
        <w:t xml:space="preserve"> established his removability pursuant to </w:t>
      </w:r>
      <w:hyperlink r:id="rId16" w:history="1">
        <w:r>
          <w:rPr>
            <w:rFonts w:ascii="arial" w:eastAsia="arial" w:hAnsi="arial" w:cs="arial"/>
            <w:b w:val="0"/>
            <w:i/>
            <w:strike w:val="0"/>
            <w:noProof w:val="0"/>
            <w:color w:val="0077CC"/>
            <w:position w:val="0"/>
            <w:sz w:val="20"/>
            <w:u w:val="single"/>
            <w:vertAlign w:val="baseline"/>
          </w:rPr>
          <w:t>8 U.S.C. § 1227(a)(1)(E)(i)</w:t>
        </w:r>
      </w:hyperlink>
      <w:r>
        <w:rPr>
          <w:rFonts w:ascii="arial" w:eastAsia="arial" w:hAnsi="arial" w:cs="arial"/>
          <w:b w:val="0"/>
          <w:i w:val="0"/>
          <w:strike w:val="0"/>
          <w:noProof w:val="0"/>
          <w:color w:val="000000"/>
          <w:position w:val="0"/>
          <w:sz w:val="20"/>
          <w:u w:val="none"/>
          <w:vertAlign w:val="baseline"/>
        </w:rPr>
        <w:t xml:space="preserve">. We conclude that Santos's conviction documents are sufficient to establish that his conduct renders him removable under </w:t>
      </w:r>
      <w:hyperlink r:id="rId16" w:history="1">
        <w:r>
          <w:rPr>
            <w:rFonts w:ascii="arial" w:eastAsia="arial" w:hAnsi="arial" w:cs="arial"/>
            <w:b w:val="0"/>
            <w:i/>
            <w:strike w:val="0"/>
            <w:noProof w:val="0"/>
            <w:color w:val="0077CC"/>
            <w:position w:val="0"/>
            <w:sz w:val="20"/>
            <w:u w:val="single"/>
            <w:vertAlign w:val="baseline"/>
          </w:rPr>
          <w:t>§ 1227(a)(1)(E)(i)</w:t>
        </w:r>
      </w:hyperlink>
      <w:r>
        <w:rPr>
          <w:rFonts w:ascii="arial" w:eastAsia="arial" w:hAnsi="arial" w:cs="arial"/>
          <w:b w:val="0"/>
          <w:i w:val="0"/>
          <w:strike w:val="0"/>
          <w:noProof w:val="0"/>
          <w:color w:val="000000"/>
          <w:position w:val="0"/>
          <w:sz w:val="20"/>
          <w:u w:val="none"/>
          <w:vertAlign w:val="baseline"/>
        </w:rPr>
        <w:t xml:space="preserve"> and deny the petition for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Facts and Procedural Background</w:t>
      </w:r>
    </w:p>
    <w:p>
      <w:pPr>
        <w:keepNext w:val="0"/>
        <w:spacing w:before="200" w:after="0" w:line="260" w:lineRule="atLeast"/>
        <w:ind w:left="0" w:right="0" w:firstLine="0"/>
        <w:jc w:val="both"/>
      </w:pPr>
      <w:bookmarkStart w:id="24" w:name="Bookmark_para_4"/>
      <w:bookmarkEnd w:id="24"/>
      <w:r>
        <w:rPr>
          <w:rFonts w:ascii="arial" w:eastAsia="arial" w:hAnsi="arial" w:cs="arial"/>
          <w:b w:val="0"/>
          <w:i w:val="0"/>
          <w:strike w:val="0"/>
          <w:noProof w:val="0"/>
          <w:color w:val="000000"/>
          <w:position w:val="0"/>
          <w:sz w:val="20"/>
          <w:u w:val="none"/>
          <w:vertAlign w:val="baseline"/>
        </w:rPr>
        <w:t xml:space="preserve">Santos, a native and citizen of Mexico, became a lawful permanent resident of the United States in 2001. In 2003, he pleaded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guilty to aiding and abetting the illegal entry of Alberto Fonseca Rodriguez ("Fonseca"), a Mexican national, in violation of </w:t>
      </w:r>
      <w:hyperlink r:id="rId14" w:history="1">
        <w:r>
          <w:rPr>
            <w:rFonts w:ascii="arial" w:eastAsia="arial" w:hAnsi="arial" w:cs="arial"/>
            <w:b w:val="0"/>
            <w:i/>
            <w:strike w:val="0"/>
            <w:noProof w:val="0"/>
            <w:color w:val="0077CC"/>
            <w:position w:val="0"/>
            <w:sz w:val="20"/>
            <w:u w:val="single"/>
            <w:vertAlign w:val="baseline"/>
          </w:rPr>
          <w:t>8 U.S.C. § 1325(a)</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18 U.S.C. § 2(a)</w:t>
        </w:r>
      </w:hyperlink>
      <w:r>
        <w:rPr>
          <w:rFonts w:ascii="arial" w:eastAsia="arial" w:hAnsi="arial" w:cs="arial"/>
          <w:b w:val="0"/>
          <w:i w:val="0"/>
          <w:strike w:val="0"/>
          <w:noProof w:val="0"/>
          <w:color w:val="000000"/>
          <w:position w:val="0"/>
          <w:sz w:val="20"/>
          <w:u w:val="none"/>
          <w:vertAlign w:val="baseline"/>
        </w:rPr>
        <w:t xml:space="preserve">. The criminal complaint set forth that the car Santos was driving was inspected as he approached a border patrol checkpoint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that Fonseca was found in the rear seat. The complaint also provided that investigation revealed that Santos was called by an unknown person to pick up Fonseca after Fonseca crossed the Rio Grande River.</w:t>
      </w:r>
    </w:p>
    <w:p>
      <w:pPr>
        <w:keepNext w:val="0"/>
        <w:spacing w:before="240" w:after="0" w:line="260" w:lineRule="atLeast"/>
        <w:ind w:left="0" w:right="0" w:firstLine="0"/>
        <w:jc w:val="both"/>
      </w:pPr>
      <w:bookmarkStart w:id="25" w:name="Bookmark_para_5"/>
      <w:bookmarkEnd w:id="25"/>
      <w:r>
        <w:rPr>
          <w:rFonts w:ascii="arial" w:eastAsia="arial" w:hAnsi="arial" w:cs="arial"/>
          <w:b w:val="0"/>
          <w:i w:val="0"/>
          <w:strike w:val="0"/>
          <w:noProof w:val="0"/>
          <w:color w:val="000000"/>
          <w:position w:val="0"/>
          <w:sz w:val="20"/>
          <w:u w:val="none"/>
          <w:vertAlign w:val="baseline"/>
        </w:rPr>
        <w:t xml:space="preserve">The Department of Homeland Security ("DHS") initiated removal proceedings against Santos under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provision.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8 U.S.C. § 1227(a)(1)(E)(i)</w:t>
        </w:r>
      </w:hyperlink>
      <w:r>
        <w:rPr>
          <w:rFonts w:ascii="arial" w:eastAsia="arial" w:hAnsi="arial" w:cs="arial"/>
          <w:b w:val="0"/>
          <w:i w:val="0"/>
          <w:strike w:val="0"/>
          <w:noProof w:val="0"/>
          <w:color w:val="000000"/>
          <w:position w:val="0"/>
          <w:sz w:val="20"/>
          <w:u w:val="none"/>
          <w:vertAlign w:val="baseline"/>
        </w:rPr>
        <w:t xml:space="preserve">. An immigration judge ("IJ") determined that Santos was not removable because Santos's </w:t>
      </w:r>
      <w:hyperlink r:id="rId14" w:history="1">
        <w:r>
          <w:rPr>
            <w:rFonts w:ascii="arial" w:eastAsia="arial" w:hAnsi="arial" w:cs="arial"/>
            <w:b w:val="0"/>
            <w:i/>
            <w:strike w:val="0"/>
            <w:noProof w:val="0"/>
            <w:color w:val="0077CC"/>
            <w:position w:val="0"/>
            <w:sz w:val="20"/>
            <w:u w:val="single"/>
            <w:vertAlign w:val="baseline"/>
          </w:rPr>
          <w:t>§ 1325(a)</w:t>
        </w:r>
      </w:hyperlink>
      <w:r>
        <w:rPr>
          <w:rFonts w:ascii="arial" w:eastAsia="arial" w:hAnsi="arial" w:cs="arial"/>
          <w:b w:val="0"/>
          <w:i w:val="0"/>
          <w:strike w:val="0"/>
          <w:noProof w:val="0"/>
          <w:color w:val="000000"/>
          <w:position w:val="0"/>
          <w:sz w:val="20"/>
          <w:u w:val="none"/>
          <w:vertAlign w:val="baseline"/>
        </w:rPr>
        <w:t xml:space="preserve"> conviction did not fall under the purview of </w:t>
      </w:r>
      <w:hyperlink r:id="rId16" w:history="1">
        <w:r>
          <w:rPr>
            <w:rFonts w:ascii="arial" w:eastAsia="arial" w:hAnsi="arial" w:cs="arial"/>
            <w:b w:val="0"/>
            <w:i/>
            <w:strike w:val="0"/>
            <w:noProof w:val="0"/>
            <w:color w:val="0077CC"/>
            <w:position w:val="0"/>
            <w:sz w:val="20"/>
            <w:u w:val="single"/>
            <w:vertAlign w:val="baseline"/>
          </w:rPr>
          <w:t>§ 1227(a)(1)(E)(i)</w:t>
        </w:r>
      </w:hyperlink>
      <w:r>
        <w:rPr>
          <w:rFonts w:ascii="arial" w:eastAsia="arial" w:hAnsi="arial" w:cs="arial"/>
          <w:b w:val="0"/>
          <w:i w:val="0"/>
          <w:strike w:val="0"/>
          <w:noProof w:val="0"/>
          <w:color w:val="000000"/>
          <w:position w:val="0"/>
          <w:sz w:val="20"/>
          <w:u w:val="none"/>
          <w:vertAlign w:val="baseline"/>
        </w:rPr>
        <w:t xml:space="preserve"> and terminated the proceedings.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BIA, in a decision rendered April 25, 2006, disagreed and concluded that the conviction documents established that the transportation in this case constituted aiding and abetting illegal reentry. The BIA vacated the IJ's order terminating the removal proceedings and remanded the case for further proceedings.</w:t>
      </w:r>
    </w:p>
    <w:p>
      <w:pPr>
        <w:keepNext w:val="0"/>
        <w:spacing w:before="240" w:after="0" w:line="260" w:lineRule="atLeast"/>
        <w:ind w:left="0" w:right="0" w:firstLine="0"/>
        <w:jc w:val="both"/>
      </w:pPr>
      <w:bookmarkStart w:id="27" w:name="Bookmark_para_6"/>
      <w:bookmarkEnd w:id="27"/>
      <w:bookmarkStart w:id="28" w:name="Bookmark_I5BV5J222D6MWD0020000400"/>
      <w:bookmarkEnd w:id="28"/>
      <w:r>
        <w:rPr>
          <w:rFonts w:ascii="arial" w:eastAsia="arial" w:hAnsi="arial" w:cs="arial"/>
          <w:b w:val="0"/>
          <w:i w:val="0"/>
          <w:strike w:val="0"/>
          <w:noProof w:val="0"/>
          <w:color w:val="000000"/>
          <w:position w:val="0"/>
          <w:sz w:val="20"/>
          <w:u w:val="none"/>
          <w:vertAlign w:val="baseline"/>
        </w:rPr>
        <w:t xml:space="preserve">On September 12, 2006, Santos filed a petition for a writ of coram nobis in the </w:t>
      </w:r>
      <w:r>
        <w:rPr>
          <w:rFonts w:ascii="arial" w:eastAsia="arial" w:hAnsi="arial" w:cs="arial"/>
          <w:b/>
          <w:i w:val="0"/>
          <w:strike w:val="0"/>
          <w:noProof w:val="0"/>
          <w:color w:val="000000"/>
          <w:position w:val="0"/>
          <w:sz w:val="20"/>
          <w:u w:val="none"/>
          <w:vertAlign w:val="baseline"/>
        </w:rPr>
        <w:t> [*393] </w:t>
      </w:r>
      <w:r>
        <w:rPr>
          <w:rFonts w:ascii="arial" w:eastAsia="arial" w:hAnsi="arial" w:cs="arial"/>
          <w:b w:val="0"/>
          <w:i w:val="0"/>
          <w:strike w:val="0"/>
          <w:noProof w:val="0"/>
          <w:color w:val="000000"/>
          <w:position w:val="0"/>
          <w:sz w:val="20"/>
          <w:u w:val="none"/>
          <w:vertAlign w:val="baseline"/>
        </w:rPr>
        <w:t xml:space="preserve"> district court where he pleaded guilty, seeking to vacate his conviction on the ground that he had not been properly advised of the immigration consequences of his guilty plea. While Santos's petition for coram nobis relief remained pending, the IJ conducted a merits hearing; Santos attempted to attack the finality of his conviction by submitting evidence of his efforts to obtain a writ of coram nobis.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DHS offered documentary and testimonial evidence apart from the conviction documents to show that Santos spoke with Fonseca before Fonseca left Mexico, and at that time arranged to pick up Fonseca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after he crossed the border. The IJ determined that both the conviction documents and the additional evidence regarding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Santos's conduct established that Santos was removable under </w:t>
      </w:r>
      <w:hyperlink r:id="rId16" w:history="1">
        <w:r>
          <w:rPr>
            <w:rFonts w:ascii="arial" w:eastAsia="arial" w:hAnsi="arial" w:cs="arial"/>
            <w:b w:val="0"/>
            <w:i/>
            <w:strike w:val="0"/>
            <w:noProof w:val="0"/>
            <w:color w:val="0077CC"/>
            <w:position w:val="0"/>
            <w:sz w:val="20"/>
            <w:u w:val="single"/>
            <w:vertAlign w:val="baseline"/>
          </w:rPr>
          <w:t>§ 1227(a)(1)(E)(i)</w:t>
        </w:r>
      </w:hyperlink>
      <w:r>
        <w:rPr>
          <w:rFonts w:ascii="arial" w:eastAsia="arial" w:hAnsi="arial" w:cs="arial"/>
          <w:b w:val="0"/>
          <w:i w:val="0"/>
          <w:strike w:val="0"/>
          <w:noProof w:val="0"/>
          <w:color w:val="000000"/>
          <w:position w:val="0"/>
          <w:sz w:val="20"/>
          <w:u w:val="none"/>
          <w:vertAlign w:val="baseline"/>
        </w:rPr>
        <w:t>. Santos appealed to the BIA.</w:t>
      </w:r>
    </w:p>
    <w:p>
      <w:pPr>
        <w:keepNext w:val="0"/>
        <w:spacing w:before="240" w:after="0" w:line="260" w:lineRule="atLeast"/>
        <w:ind w:left="0" w:right="0" w:firstLine="0"/>
        <w:jc w:val="both"/>
      </w:pPr>
      <w:bookmarkStart w:id="31" w:name="Bookmark_para_7"/>
      <w:bookmarkEnd w:id="31"/>
      <w:bookmarkStart w:id="32" w:name="Bookmark_I5BV5J222D6MWD0040000400"/>
      <w:bookmarkEnd w:id="32"/>
      <w:r>
        <w:rPr>
          <w:rFonts w:ascii="arial" w:eastAsia="arial" w:hAnsi="arial" w:cs="arial"/>
          <w:b w:val="0"/>
          <w:i w:val="0"/>
          <w:strike w:val="0"/>
          <w:noProof w:val="0"/>
          <w:color w:val="000000"/>
          <w:position w:val="0"/>
          <w:sz w:val="20"/>
          <w:u w:val="none"/>
          <w:vertAlign w:val="baseline"/>
        </w:rPr>
        <w:t xml:space="preserve">In a May 5, 2008 decision, the BIA dismissed Santos's appeal. The BIA noted its prior holding that Santos's "conviction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was established via [a] categorical match between the grounds of removability and the terms of the statutes under which he was convicted" and that this holding remained the law of the case. The BIA held that insofar as Santos remained convicted of violating </w:t>
      </w:r>
      <w:hyperlink r:id="rId14" w:history="1">
        <w:r>
          <w:rPr>
            <w:rFonts w:ascii="arial" w:eastAsia="arial" w:hAnsi="arial" w:cs="arial"/>
            <w:b w:val="0"/>
            <w:i/>
            <w:strike w:val="0"/>
            <w:noProof w:val="0"/>
            <w:color w:val="0077CC"/>
            <w:position w:val="0"/>
            <w:sz w:val="20"/>
            <w:u w:val="single"/>
            <w:vertAlign w:val="baseline"/>
          </w:rPr>
          <w:t>§ 1325</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 2</w:t>
        </w:r>
      </w:hyperlink>
      <w:r>
        <w:rPr>
          <w:rFonts w:ascii="arial" w:eastAsia="arial" w:hAnsi="arial" w:cs="arial"/>
          <w:b w:val="0"/>
          <w:i w:val="0"/>
          <w:strike w:val="0"/>
          <w:noProof w:val="0"/>
          <w:color w:val="000000"/>
          <w:position w:val="0"/>
          <w:sz w:val="20"/>
          <w:u w:val="none"/>
          <w:vertAlign w:val="baseline"/>
        </w:rPr>
        <w:t xml:space="preserve">, his convictions rendered him removable under </w:t>
      </w:r>
      <w:hyperlink r:id="rId16" w:history="1">
        <w:r>
          <w:rPr>
            <w:rFonts w:ascii="arial" w:eastAsia="arial" w:hAnsi="arial" w:cs="arial"/>
            <w:b w:val="0"/>
            <w:i/>
            <w:strike w:val="0"/>
            <w:noProof w:val="0"/>
            <w:color w:val="0077CC"/>
            <w:position w:val="0"/>
            <w:sz w:val="20"/>
            <w:u w:val="single"/>
            <w:vertAlign w:val="baseline"/>
          </w:rPr>
          <w:t>§ 1227(a)(1)(E)(i)</w:t>
        </w:r>
      </w:hyperlink>
      <w:r>
        <w:rPr>
          <w:rFonts w:ascii="arial" w:eastAsia="arial" w:hAnsi="arial" w:cs="arial"/>
          <w:b w:val="0"/>
          <w:i w:val="0"/>
          <w:strike w:val="0"/>
          <w:noProof w:val="0"/>
          <w:color w:val="000000"/>
          <w:position w:val="0"/>
          <w:sz w:val="20"/>
          <w:u w:val="none"/>
          <w:vertAlign w:val="baseline"/>
        </w:rPr>
        <w:t>. Santos filed a timely petition for review.</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00" w:after="0" w:line="260" w:lineRule="atLeast"/>
        <w:ind w:left="0" w:right="0" w:firstLine="0"/>
        <w:jc w:val="both"/>
      </w:pPr>
      <w:bookmarkStart w:id="35" w:name="Bookmark_para_8"/>
      <w:bookmarkEnd w:id="35"/>
      <w:bookmarkStart w:id="36" w:name="Bookmark_I5BV5J222N1R6G0010000400"/>
      <w:bookmarkEnd w:id="36"/>
      <w:r>
        <w:rPr>
          <w:rFonts w:ascii="arial" w:eastAsia="arial" w:hAnsi="arial" w:cs="arial"/>
          <w:b w:val="0"/>
          <w:i w:val="0"/>
          <w:strike w:val="0"/>
          <w:noProof w:val="0"/>
          <w:color w:val="000000"/>
          <w:position w:val="0"/>
          <w:sz w:val="20"/>
          <w:u w:val="none"/>
          <w:vertAlign w:val="baseline"/>
        </w:rPr>
        <w:t xml:space="preserve">The question we must decide is whether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Santos's conviction under </w:t>
      </w:r>
      <w:hyperlink r:id="rId14" w:history="1">
        <w:r>
          <w:rPr>
            <w:rFonts w:ascii="arial" w:eastAsia="arial" w:hAnsi="arial" w:cs="arial"/>
            <w:b w:val="0"/>
            <w:i/>
            <w:strike w:val="0"/>
            <w:noProof w:val="0"/>
            <w:color w:val="0077CC"/>
            <w:position w:val="0"/>
            <w:sz w:val="20"/>
            <w:u w:val="single"/>
            <w:vertAlign w:val="baseline"/>
          </w:rPr>
          <w:t>8 U.S.C. § 1325(a)</w:t>
        </w:r>
      </w:hyperlink>
      <w:r>
        <w:rPr>
          <w:rFonts w:ascii="arial" w:eastAsia="arial" w:hAnsi="arial" w:cs="arial"/>
          <w:b w:val="0"/>
          <w:i w:val="0"/>
          <w:strike w:val="0"/>
          <w:noProof w:val="0"/>
          <w:color w:val="000000"/>
          <w:position w:val="0"/>
          <w:sz w:val="20"/>
          <w:u w:val="none"/>
          <w:vertAlign w:val="baseline"/>
        </w:rPr>
        <w:t xml:space="preserve"> rendered him removable pursuant to </w:t>
      </w:r>
      <w:hyperlink r:id="rId16" w:history="1">
        <w:r>
          <w:rPr>
            <w:rFonts w:ascii="arial" w:eastAsia="arial" w:hAnsi="arial" w:cs="arial"/>
            <w:b w:val="0"/>
            <w:i/>
            <w:strike w:val="0"/>
            <w:noProof w:val="0"/>
            <w:color w:val="0077CC"/>
            <w:position w:val="0"/>
            <w:sz w:val="20"/>
            <w:u w:val="single"/>
            <w:vertAlign w:val="baseline"/>
          </w:rPr>
          <w:t>§ 1227(a)(1)(E)(i)</w:t>
        </w:r>
      </w:hyperlink>
      <w:r>
        <w:rPr>
          <w:rFonts w:ascii="arial" w:eastAsia="arial" w:hAnsi="arial" w:cs="arial"/>
          <w:b w:val="0"/>
          <w:i w:val="0"/>
          <w:strike w:val="0"/>
          <w:noProof w:val="0"/>
          <w:color w:val="000000"/>
          <w:position w:val="0"/>
          <w:sz w:val="20"/>
          <w:u w:val="none"/>
          <w:vertAlign w:val="baseline"/>
        </w:rPr>
        <w:t xml:space="preserve">. We have jurisdiction over this appeal pursuant to </w:t>
      </w:r>
      <w:hyperlink r:id="rId21" w:history="1">
        <w:r>
          <w:rPr>
            <w:rFonts w:ascii="arial" w:eastAsia="arial" w:hAnsi="arial" w:cs="arial"/>
            <w:b w:val="0"/>
            <w:i/>
            <w:strike w:val="0"/>
            <w:noProof w:val="0"/>
            <w:color w:val="0077CC"/>
            <w:position w:val="0"/>
            <w:sz w:val="20"/>
            <w:u w:val="single"/>
            <w:vertAlign w:val="baseline"/>
          </w:rPr>
          <w:t>8 U.S.C. § 1252(a)(1)</w:t>
        </w:r>
      </w:hyperlink>
      <w:r>
        <w:rPr>
          <w:rFonts w:ascii="arial" w:eastAsia="arial" w:hAnsi="arial" w:cs="arial"/>
          <w:b w:val="0"/>
          <w:i w:val="0"/>
          <w:strike w:val="0"/>
          <w:noProof w:val="0"/>
          <w:color w:val="000000"/>
          <w:position w:val="0"/>
          <w:sz w:val="20"/>
          <w:u w:val="none"/>
          <w:vertAlign w:val="baseline"/>
        </w:rPr>
        <w:t xml:space="preserve">. </w:t>
      </w:r>
      <w:bookmarkStart w:id="37" w:name="Bookmark_I5BV5J222N1R6G0030000400"/>
      <w:bookmarkEnd w:id="37"/>
      <w:bookmarkStart w:id="38" w:name="Bookmark_LNHNREFclscc1"/>
      <w:bookmarkEnd w:id="38"/>
      <w:hyperlink r:id="rId22"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5"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The government is required to establish the grounds of removability by "clear, unequivocal, and convincing evidence." </w:t>
      </w:r>
      <w:bookmarkStart w:id="39" w:name="Bookmark_I5BV5J222D6MWD0050000400"/>
      <w:bookmarkEnd w:id="39"/>
      <w:hyperlink r:id="rId24" w:history="1">
        <w:r>
          <w:rPr>
            <w:rFonts w:ascii="arial" w:eastAsia="arial" w:hAnsi="arial" w:cs="arial"/>
            <w:b w:val="0"/>
            <w:i/>
            <w:strike w:val="0"/>
            <w:noProof w:val="0"/>
            <w:color w:val="0077CC"/>
            <w:position w:val="0"/>
            <w:sz w:val="20"/>
            <w:u w:val="single"/>
            <w:vertAlign w:val="baseline"/>
          </w:rPr>
          <w:t>Woodby v. INS</w:t>
        </w:r>
      </w:hyperlink>
      <w:hyperlink r:id="rId24" w:history="1">
        <w:r>
          <w:rPr>
            <w:rFonts w:ascii="arial" w:eastAsia="arial" w:hAnsi="arial" w:cs="arial"/>
            <w:b w:val="0"/>
            <w:i/>
            <w:strike w:val="0"/>
            <w:noProof w:val="0"/>
            <w:color w:val="0077CC"/>
            <w:position w:val="0"/>
            <w:sz w:val="20"/>
            <w:u w:val="single"/>
            <w:vertAlign w:val="baseline"/>
          </w:rPr>
          <w:t>, 385 U.S. 276, 286, 87 S. Ct. 483, 17 L. Ed. 2d 362 (1966)</w:t>
        </w:r>
      </w:hyperlink>
      <w:r>
        <w:rPr>
          <w:rFonts w:ascii="arial" w:eastAsia="arial" w:hAnsi="arial" w:cs="arial"/>
          <w:b w:val="0"/>
          <w:i w:val="0"/>
          <w:strike w:val="0"/>
          <w:noProof w:val="0"/>
          <w:color w:val="000000"/>
          <w:position w:val="0"/>
          <w:sz w:val="20"/>
          <w:u w:val="none"/>
          <w:vertAlign w:val="baseline"/>
        </w:rPr>
        <w:t xml:space="preserve">. </w:t>
      </w:r>
      <w:bookmarkStart w:id="40" w:name="Bookmark_I5BV5J222N1R6G0030000400_2"/>
      <w:bookmarkEnd w:id="40"/>
      <w:bookmarkStart w:id="41" w:name="Bookmark_LNHNREFclscc2"/>
      <w:bookmarkEnd w:id="41"/>
      <w:hyperlink r:id="rId25"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6"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We review factual conclusions of the BIA for substantial evidence. </w:t>
      </w:r>
      <w:bookmarkStart w:id="42" w:name="Bookmark_I5BV5J222N1R6G0020000400"/>
      <w:bookmarkEnd w:id="42"/>
      <w:hyperlink r:id="rId26" w:history="1">
        <w:r>
          <w:rPr>
            <w:rFonts w:ascii="arial" w:eastAsia="arial" w:hAnsi="arial" w:cs="arial"/>
            <w:b w:val="0"/>
            <w:i/>
            <w:strike w:val="0"/>
            <w:noProof w:val="0"/>
            <w:color w:val="0077CC"/>
            <w:position w:val="0"/>
            <w:sz w:val="20"/>
            <w:u w:val="single"/>
            <w:vertAlign w:val="baseline"/>
          </w:rPr>
          <w:t>Carbajal-Gonzalez v. INS</w:t>
        </w:r>
      </w:hyperlink>
      <w:hyperlink r:id="rId26" w:history="1">
        <w:r>
          <w:rPr>
            <w:rFonts w:ascii="arial" w:eastAsia="arial" w:hAnsi="arial" w:cs="arial"/>
            <w:b w:val="0"/>
            <w:i/>
            <w:strike w:val="0"/>
            <w:noProof w:val="0"/>
            <w:color w:val="0077CC"/>
            <w:position w:val="0"/>
            <w:sz w:val="20"/>
            <w:u w:val="single"/>
            <w:vertAlign w:val="baseline"/>
          </w:rPr>
          <w:t>, 78 F.3d 194, 197 (5th Cir. 1996)</w:t>
        </w:r>
      </w:hyperlink>
      <w:r>
        <w:rPr>
          <w:rFonts w:ascii="arial" w:eastAsia="arial" w:hAnsi="arial" w:cs="arial"/>
          <w:b w:val="0"/>
          <w:i w:val="0"/>
          <w:strike w:val="0"/>
          <w:noProof w:val="0"/>
          <w:color w:val="000000"/>
          <w:position w:val="0"/>
          <w:sz w:val="20"/>
          <w:u w:val="none"/>
          <w:vertAlign w:val="baseline"/>
        </w:rPr>
        <w:t xml:space="preserve">. We review questions of law de novo, with deference to the BIA's interpretations of ambiguous provisions of the INA.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para_9"/>
      <w:bookmarkEnd w:id="43"/>
      <w:r>
        <w:rPr>
          <w:rFonts w:ascii="arial" w:eastAsia="arial" w:hAnsi="arial" w:cs="arial"/>
          <w:b w:val="0"/>
          <w:i w:val="0"/>
          <w:strike w:val="0"/>
          <w:noProof w:val="0"/>
          <w:color w:val="000000"/>
          <w:position w:val="0"/>
          <w:sz w:val="20"/>
          <w:u w:val="none"/>
          <w:vertAlign w:val="baseline"/>
        </w:rPr>
        <w:t xml:space="preserve">Santos pleaded guilty to aiding or abetting violation of </w:t>
      </w:r>
      <w:hyperlink r:id="rId14" w:history="1">
        <w:r>
          <w:rPr>
            <w:rFonts w:ascii="arial" w:eastAsia="arial" w:hAnsi="arial" w:cs="arial"/>
            <w:b w:val="0"/>
            <w:i/>
            <w:strike w:val="0"/>
            <w:noProof w:val="0"/>
            <w:color w:val="0077CC"/>
            <w:position w:val="0"/>
            <w:sz w:val="20"/>
            <w:u w:val="single"/>
            <w:vertAlign w:val="baseline"/>
          </w:rPr>
          <w:t>8 U.S.C. § 1325(a)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Section 1325(a)</w:t>
        </w:r>
      </w:hyperlink>
      <w:r>
        <w:rPr>
          <w:rFonts w:ascii="arial" w:eastAsia="arial" w:hAnsi="arial" w:cs="arial"/>
          <w:b w:val="0"/>
          <w:i w:val="0"/>
          <w:strike w:val="0"/>
          <w:noProof w:val="0"/>
          <w:color w:val="000000"/>
          <w:position w:val="0"/>
          <w:sz w:val="20"/>
          <w:u w:val="none"/>
          <w:vertAlign w:val="baseline"/>
        </w:rPr>
        <w:t xml:space="preserve"> provides:</w:t>
      </w:r>
    </w:p>
    <w:p>
      <w:pPr>
        <w:keepNext w:val="0"/>
        <w:spacing w:before="200" w:after="0" w:line="260" w:lineRule="atLeast"/>
        <w:ind w:left="400" w:right="0" w:firstLine="0"/>
        <w:jc w:val="both"/>
      </w:pPr>
      <w:bookmarkStart w:id="44" w:name="Bookmark_para_10"/>
      <w:bookmarkEnd w:id="44"/>
      <w:bookmarkStart w:id="45" w:name="Bookmark_LNHNREFclscc3"/>
      <w:bookmarkEnd w:id="45"/>
      <w:hyperlink r:id="rId2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7"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Any alien who (1) enters or attempts to enter the United States at any time or place other than as designated by immigration officers, or (2) eludes examination or inspection by immigration officers, or (3) attempts to enter or obtains entry to the United States by a willfully false or misleading representation or the willful concealment of a material fact, shall, for the first commission of any such offense, be fined under Title 18 or imprisoned not more than 6 months, or both, and, for a subsequent commission of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any such offense, be fined under Title 18, or imprisoned not more than 2 years, or both.</w:t>
      </w:r>
    </w:p>
    <w:p>
      <w:pPr>
        <w:keepNext w:val="0"/>
        <w:spacing w:before="20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8 U.S.C. § 1325(a)</w:t>
        </w:r>
      </w:hyperlink>
      <w:r>
        <w:rPr>
          <w:rFonts w:ascii="arial" w:eastAsia="arial" w:hAnsi="arial" w:cs="arial"/>
          <w:b w:val="0"/>
          <w:i w:val="0"/>
          <w:strike w:val="0"/>
          <w:noProof w:val="0"/>
          <w:color w:val="000000"/>
          <w:position w:val="0"/>
          <w:sz w:val="20"/>
          <w:u w:val="none"/>
          <w:vertAlign w:val="baseline"/>
        </w:rPr>
        <w:t xml:space="preserve">. He was sentenced to one year probation and a fine. Santos was then charged by DHS with being removable </w:t>
      </w:r>
      <w:r>
        <w:rPr>
          <w:rFonts w:ascii="arial" w:eastAsia="arial" w:hAnsi="arial" w:cs="arial"/>
          <w:b/>
          <w:i w:val="0"/>
          <w:strike w:val="0"/>
          <w:noProof w:val="0"/>
          <w:color w:val="000000"/>
          <w:position w:val="0"/>
          <w:sz w:val="20"/>
          <w:u w:val="none"/>
          <w:vertAlign w:val="baseline"/>
        </w:rPr>
        <w:t> [*394] </w:t>
      </w:r>
      <w:r>
        <w:rPr>
          <w:rFonts w:ascii="arial" w:eastAsia="arial" w:hAnsi="arial" w:cs="arial"/>
          <w:b w:val="0"/>
          <w:i w:val="0"/>
          <w:strike w:val="0"/>
          <w:noProof w:val="0"/>
          <w:color w:val="000000"/>
          <w:position w:val="0"/>
          <w:sz w:val="20"/>
          <w:u w:val="none"/>
          <w:vertAlign w:val="baseline"/>
        </w:rPr>
        <w:t xml:space="preserve"> under </w:t>
      </w:r>
      <w:hyperlink r:id="rId16" w:history="1">
        <w:r>
          <w:rPr>
            <w:rFonts w:ascii="arial" w:eastAsia="arial" w:hAnsi="arial" w:cs="arial"/>
            <w:b w:val="0"/>
            <w:i/>
            <w:strike w:val="0"/>
            <w:noProof w:val="0"/>
            <w:color w:val="0077CC"/>
            <w:position w:val="0"/>
            <w:sz w:val="20"/>
            <w:u w:val="single"/>
            <w:vertAlign w:val="baseline"/>
          </w:rPr>
          <w:t>8 U.S.C. § 1227(a)(1)(E)(i)</w:t>
        </w:r>
      </w:hyperlink>
      <w:r>
        <w:rPr>
          <w:rFonts w:ascii="arial" w:eastAsia="arial" w:hAnsi="arial" w:cs="arial"/>
          <w:b w:val="0"/>
          <w:i w:val="0"/>
          <w:strike w:val="0"/>
          <w:noProof w:val="0"/>
          <w:color w:val="000000"/>
          <w:position w:val="0"/>
          <w:sz w:val="20"/>
          <w:u w:val="none"/>
          <w:vertAlign w:val="baseline"/>
        </w:rPr>
        <w:t xml:space="preserve">, which provides in pertinent part that: </w:t>
      </w:r>
      <w:bookmarkStart w:id="46" w:name="Bookmark_LNHNREFclscc4"/>
      <w:bookmarkEnd w:id="46"/>
      <w:hyperlink r:id="rId28"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8"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"[a]ny alien who . . . knowingly has encouraged, induced, assisted, abetted, or aided any other alien to enter or to try to enter the United States in violation of law is deportable."</w:t>
      </w:r>
    </w:p>
    <w:p>
      <w:pPr>
        <w:keepNext w:val="0"/>
        <w:spacing w:before="240" w:after="0" w:line="260" w:lineRule="atLeast"/>
        <w:ind w:left="0" w:right="0" w:firstLine="0"/>
        <w:jc w:val="both"/>
      </w:pPr>
      <w:bookmarkStart w:id="47" w:name="Bookmark_para_11"/>
      <w:bookmarkEnd w:id="47"/>
      <w:r>
        <w:rPr>
          <w:rFonts w:ascii="arial" w:eastAsia="arial" w:hAnsi="arial" w:cs="arial"/>
          <w:b w:val="0"/>
          <w:i w:val="0"/>
          <w:strike w:val="0"/>
          <w:noProof w:val="0"/>
          <w:color w:val="000000"/>
          <w:position w:val="0"/>
          <w:sz w:val="20"/>
          <w:u w:val="none"/>
          <w:vertAlign w:val="baseline"/>
        </w:rPr>
        <w:t xml:space="preserve">After the BIA's decision in this case, the BIA concluded that conviction under </w:t>
      </w:r>
      <w:hyperlink r:id="rId14" w:history="1">
        <w:r>
          <w:rPr>
            <w:rFonts w:ascii="arial" w:eastAsia="arial" w:hAnsi="arial" w:cs="arial"/>
            <w:b w:val="0"/>
            <w:i/>
            <w:strike w:val="0"/>
            <w:noProof w:val="0"/>
            <w:color w:val="0077CC"/>
            <w:position w:val="0"/>
            <w:sz w:val="20"/>
            <w:u w:val="single"/>
            <w:vertAlign w:val="baseline"/>
          </w:rPr>
          <w:t>§ 1325(a)</w:t>
        </w:r>
      </w:hyperlink>
      <w:r>
        <w:rPr>
          <w:rFonts w:ascii="arial" w:eastAsia="arial" w:hAnsi="arial" w:cs="arial"/>
          <w:b w:val="0"/>
          <w:i w:val="0"/>
          <w:strike w:val="0"/>
          <w:noProof w:val="0"/>
          <w:color w:val="000000"/>
          <w:position w:val="0"/>
          <w:sz w:val="20"/>
          <w:u w:val="none"/>
          <w:vertAlign w:val="baseline"/>
        </w:rPr>
        <w:t xml:space="preserve"> necessarily establishes an alien's removability pursuant to </w:t>
      </w:r>
      <w:hyperlink r:id="rId16" w:history="1">
        <w:r>
          <w:rPr>
            <w:rFonts w:ascii="arial" w:eastAsia="arial" w:hAnsi="arial" w:cs="arial"/>
            <w:b w:val="0"/>
            <w:i/>
            <w:strike w:val="0"/>
            <w:noProof w:val="0"/>
            <w:color w:val="0077CC"/>
            <w:position w:val="0"/>
            <w:sz w:val="20"/>
            <w:u w:val="single"/>
            <w:vertAlign w:val="baseline"/>
          </w:rPr>
          <w:t>§ 1227(a)(1)(E)(i)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29" w:history="1">
        <w:r>
          <w:rPr>
            <w:rFonts w:ascii="arial" w:eastAsia="arial" w:hAnsi="arial" w:cs="arial"/>
            <w:b w:val="0"/>
            <w:i/>
            <w:strike w:val="0"/>
            <w:noProof w:val="0"/>
            <w:color w:val="0077CC"/>
            <w:position w:val="0"/>
            <w:sz w:val="20"/>
            <w:u w:val="single"/>
            <w:vertAlign w:val="baseline"/>
          </w:rPr>
          <w:t>Matter of Martinez-Serrano</w:t>
        </w:r>
      </w:hyperlink>
      <w:hyperlink r:id="rId29" w:history="1">
        <w:r>
          <w:rPr>
            <w:rFonts w:ascii="arial" w:eastAsia="arial" w:hAnsi="arial" w:cs="arial"/>
            <w:b w:val="0"/>
            <w:i/>
            <w:strike w:val="0"/>
            <w:noProof w:val="0"/>
            <w:color w:val="0077CC"/>
            <w:position w:val="0"/>
            <w:sz w:val="20"/>
            <w:u w:val="single"/>
            <w:vertAlign w:val="baseline"/>
          </w:rPr>
          <w:t>, 25 I. &amp; N. Dec. 151, 153-54</w:t>
        </w:r>
      </w:hyperlink>
      <w:r>
        <w:rPr>
          <w:rFonts w:ascii="arial" w:eastAsia="arial" w:hAnsi="arial" w:cs="arial"/>
          <w:b w:val="0"/>
          <w:i w:val="0"/>
          <w:strike w:val="0"/>
          <w:noProof w:val="0"/>
          <w:color w:val="000000"/>
          <w:position w:val="0"/>
          <w:sz w:val="20"/>
          <w:u w:val="none"/>
          <w:vertAlign w:val="baseline"/>
        </w:rPr>
        <w:t xml:space="preserve"> (BIA 2009). Santos disputes that conclusion, arguing that </w:t>
      </w:r>
      <w:hyperlink r:id="rId14" w:history="1">
        <w:r>
          <w:rPr>
            <w:rFonts w:ascii="arial" w:eastAsia="arial" w:hAnsi="arial" w:cs="arial"/>
            <w:b w:val="0"/>
            <w:i/>
            <w:strike w:val="0"/>
            <w:noProof w:val="0"/>
            <w:color w:val="0077CC"/>
            <w:position w:val="0"/>
            <w:sz w:val="20"/>
            <w:u w:val="single"/>
            <w:vertAlign w:val="baseline"/>
          </w:rPr>
          <w:t>§ 1325(a)</w:t>
        </w:r>
      </w:hyperlink>
      <w:r>
        <w:rPr>
          <w:rFonts w:ascii="arial" w:eastAsia="arial" w:hAnsi="arial" w:cs="arial"/>
          <w:b w:val="0"/>
          <w:i w:val="0"/>
          <w:strike w:val="0"/>
          <w:noProof w:val="0"/>
          <w:color w:val="000000"/>
          <w:position w:val="0"/>
          <w:sz w:val="20"/>
          <w:u w:val="none"/>
          <w:vertAlign w:val="baseline"/>
        </w:rPr>
        <w:t xml:space="preserve"> may be violated in ways that are unconnected to an illegal entry. However, we find it unnecessary to reach the question of whether every violation of </w:t>
      </w:r>
      <w:hyperlink r:id="rId14" w:history="1">
        <w:r>
          <w:rPr>
            <w:rFonts w:ascii="arial" w:eastAsia="arial" w:hAnsi="arial" w:cs="arial"/>
            <w:b w:val="0"/>
            <w:i/>
            <w:strike w:val="0"/>
            <w:noProof w:val="0"/>
            <w:color w:val="0077CC"/>
            <w:position w:val="0"/>
            <w:sz w:val="20"/>
            <w:u w:val="single"/>
            <w:vertAlign w:val="baseline"/>
          </w:rPr>
          <w:t>§ 1325(a)</w:t>
        </w:r>
      </w:hyperlink>
      <w:r>
        <w:rPr>
          <w:rFonts w:ascii="arial" w:eastAsia="arial" w:hAnsi="arial" w:cs="arial"/>
          <w:b w:val="0"/>
          <w:i w:val="0"/>
          <w:strike w:val="0"/>
          <w:noProof w:val="0"/>
          <w:color w:val="000000"/>
          <w:position w:val="0"/>
          <w:sz w:val="20"/>
          <w:u w:val="none"/>
          <w:vertAlign w:val="baseline"/>
        </w:rPr>
        <w:t xml:space="preserve"> automatically establishes removability under </w:t>
      </w:r>
      <w:hyperlink r:id="rId16" w:history="1">
        <w:r>
          <w:rPr>
            <w:rFonts w:ascii="arial" w:eastAsia="arial" w:hAnsi="arial" w:cs="arial"/>
            <w:b w:val="0"/>
            <w:i/>
            <w:strike w:val="0"/>
            <w:noProof w:val="0"/>
            <w:color w:val="0077CC"/>
            <w:position w:val="0"/>
            <w:sz w:val="20"/>
            <w:u w:val="single"/>
            <w:vertAlign w:val="baseline"/>
          </w:rPr>
          <w:t>§ 1227(a)(1)(E)(i)</w:t>
        </w:r>
      </w:hyperlink>
      <w:r>
        <w:rPr>
          <w:rFonts w:ascii="arial" w:eastAsia="arial" w:hAnsi="arial" w:cs="arial"/>
          <w:b w:val="0"/>
          <w:i w:val="0"/>
          <w:strike w:val="0"/>
          <w:noProof w:val="0"/>
          <w:color w:val="000000"/>
          <w:position w:val="0"/>
          <w:sz w:val="20"/>
          <w:u w:val="none"/>
          <w:vertAlign w:val="baseline"/>
        </w:rPr>
        <w:t xml:space="preserve">. Despite Santos's argument to the contrary, in his case, the BIA did not rely on a finding that there was a "categorical match" between the statutes to find him removable. </w:t>
      </w:r>
      <w:bookmarkStart w:id="48" w:name="Bookmark_I5BV5J222N1R6G0050000400"/>
      <w:bookmarkEnd w:id="48"/>
      <w:r>
        <w:rPr>
          <w:rFonts w:ascii="arial" w:eastAsia="arial" w:hAnsi="arial" w:cs="arial"/>
          <w:b w:val="0"/>
          <w:i w:val="0"/>
          <w:strike w:val="0"/>
          <w:noProof w:val="0"/>
          <w:color w:val="000000"/>
          <w:position w:val="0"/>
          <w:sz w:val="20"/>
          <w:u w:val="none"/>
          <w:vertAlign w:val="baseline"/>
        </w:rPr>
        <w:t xml:space="preserve">Reading the 2006 and 2008 BIA decisions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together, it is clear that the BIA actually relied on the documents associated with Santos's </w:t>
      </w:r>
      <w:hyperlink r:id="rId14" w:history="1">
        <w:r>
          <w:rPr>
            <w:rFonts w:ascii="arial" w:eastAsia="arial" w:hAnsi="arial" w:cs="arial"/>
            <w:b w:val="0"/>
            <w:i/>
            <w:strike w:val="0"/>
            <w:noProof w:val="0"/>
            <w:color w:val="0077CC"/>
            <w:position w:val="0"/>
            <w:sz w:val="20"/>
            <w:u w:val="single"/>
            <w:vertAlign w:val="baseline"/>
          </w:rPr>
          <w:t>§ 1325(a)</w:t>
        </w:r>
      </w:hyperlink>
      <w:r>
        <w:rPr>
          <w:rFonts w:ascii="arial" w:eastAsia="arial" w:hAnsi="arial" w:cs="arial"/>
          <w:b w:val="0"/>
          <w:i w:val="0"/>
          <w:strike w:val="0"/>
          <w:noProof w:val="0"/>
          <w:color w:val="000000"/>
          <w:position w:val="0"/>
          <w:sz w:val="20"/>
          <w:u w:val="none"/>
          <w:vertAlign w:val="baseline"/>
        </w:rPr>
        <w:t xml:space="preserve"> conviction, including the criminal complaint and judgment of conviction, to find that Santos's particular conduct established his removability. We likewise look to those documents to resolve this appeal.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49" w:name="Bookmark_LNHNREFclscc5"/>
      <w:bookmarkEnd w:id="49"/>
      <w:hyperlink r:id="rId30"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8 U.S.C. 1229a(c)(3)(B)</w:t>
        </w:r>
      </w:hyperlink>
      <w:r>
        <w:rPr>
          <w:rFonts w:ascii="arial" w:eastAsia="arial" w:hAnsi="arial" w:cs="arial"/>
          <w:b w:val="0"/>
          <w:i w:val="0"/>
          <w:strike w:val="0"/>
          <w:noProof w:val="0"/>
          <w:color w:val="000000"/>
          <w:position w:val="0"/>
          <w:sz w:val="20"/>
          <w:u w:val="none"/>
          <w:vertAlign w:val="baseline"/>
        </w:rPr>
        <w:t xml:space="preserve"> (providing that an "official record of judgment and conviction" shall constitute proof of a criminal conviction); </w:t>
      </w:r>
      <w:bookmarkStart w:id="50" w:name="Bookmark_I5BV5J222N1R6G0040000400"/>
      <w:bookmarkEnd w:id="50"/>
      <w:hyperlink r:id="rId31" w:history="1">
        <w:r>
          <w:rPr>
            <w:rFonts w:ascii="arial" w:eastAsia="arial" w:hAnsi="arial" w:cs="arial"/>
            <w:b w:val="0"/>
            <w:i/>
            <w:strike w:val="0"/>
            <w:noProof w:val="0"/>
            <w:color w:val="0077CC"/>
            <w:position w:val="0"/>
            <w:sz w:val="20"/>
            <w:u w:val="single"/>
            <w:vertAlign w:val="baseline"/>
          </w:rPr>
          <w:t>Omari v. Gonzales</w:t>
        </w:r>
      </w:hyperlink>
      <w:hyperlink r:id="rId31" w:history="1">
        <w:r>
          <w:rPr>
            <w:rFonts w:ascii="arial" w:eastAsia="arial" w:hAnsi="arial" w:cs="arial"/>
            <w:b w:val="0"/>
            <w:i/>
            <w:strike w:val="0"/>
            <w:noProof w:val="0"/>
            <w:color w:val="0077CC"/>
            <w:position w:val="0"/>
            <w:sz w:val="20"/>
            <w:u w:val="single"/>
            <w:vertAlign w:val="baseline"/>
          </w:rPr>
          <w:t>, 419 F.3d 303, 308 (5th Cir. 2005)</w:t>
        </w:r>
      </w:hyperlink>
      <w:r>
        <w:rPr>
          <w:rFonts w:ascii="arial" w:eastAsia="arial" w:hAnsi="arial" w:cs="arial"/>
          <w:b w:val="0"/>
          <w:i w:val="0"/>
          <w:strike w:val="0"/>
          <w:noProof w:val="0"/>
          <w:color w:val="000000"/>
          <w:position w:val="0"/>
          <w:sz w:val="20"/>
          <w:u w:val="none"/>
          <w:vertAlign w:val="baseline"/>
        </w:rPr>
        <w:t xml:space="preserve"> (providing that for guilty pleas, the record of conviction includes the charging document).</w:t>
      </w:r>
    </w:p>
    <w:p>
      <w:pPr>
        <w:keepNext w:val="0"/>
        <w:spacing w:before="240" w:after="0" w:line="260" w:lineRule="atLeast"/>
        <w:ind w:left="0" w:right="0" w:firstLine="0"/>
        <w:jc w:val="both"/>
      </w:pPr>
      <w:bookmarkStart w:id="51" w:name="Bookmark_para_12"/>
      <w:bookmarkEnd w:id="51"/>
      <w:r>
        <w:rPr>
          <w:rFonts w:ascii="arial" w:eastAsia="arial" w:hAnsi="arial" w:cs="arial"/>
          <w:b w:val="0"/>
          <w:i w:val="0"/>
          <w:strike w:val="0"/>
          <w:noProof w:val="0"/>
          <w:color w:val="000000"/>
          <w:position w:val="0"/>
          <w:sz w:val="20"/>
          <w:u w:val="none"/>
          <w:vertAlign w:val="baseline"/>
        </w:rPr>
        <w:t xml:space="preserve">The BIA found Santos removable because the conviction documents establish that he "encouraged, induced, assisted, abetted, or aided any other alien to enter or to try to enter the United States in violation of law." </w:t>
      </w:r>
      <w:hyperlink r:id="rId16" w:history="1">
        <w:r>
          <w:rPr>
            <w:rFonts w:ascii="arial" w:eastAsia="arial" w:hAnsi="arial" w:cs="arial"/>
            <w:b w:val="0"/>
            <w:i/>
            <w:strike w:val="0"/>
            <w:noProof w:val="0"/>
            <w:color w:val="0077CC"/>
            <w:position w:val="0"/>
            <w:sz w:val="20"/>
            <w:u w:val="single"/>
            <w:vertAlign w:val="baseline"/>
          </w:rPr>
          <w:t>8 U.S.C. § 1227(a)(1)(E)(i)</w:t>
        </w:r>
      </w:hyperlink>
      <w:r>
        <w:rPr>
          <w:rFonts w:ascii="arial" w:eastAsia="arial" w:hAnsi="arial" w:cs="arial"/>
          <w:b w:val="0"/>
          <w:i w:val="0"/>
          <w:strike w:val="0"/>
          <w:noProof w:val="0"/>
          <w:color w:val="000000"/>
          <w:position w:val="0"/>
          <w:sz w:val="20"/>
          <w:u w:val="none"/>
          <w:vertAlign w:val="baseline"/>
        </w:rPr>
        <w:t xml:space="preserve">. The judgment in Santos's criminal case specifically states that Santos was charged with and convicted of "knowingly and willfully aid [sic] and abet [sic] the illegal entry of Mexican alien, Alberto Fonseca Rodriguez, by attempting to transport him to further his entry into the United States, in violation of </w:t>
      </w:r>
      <w:hyperlink r:id="rId14" w:history="1">
        <w:r>
          <w:rPr>
            <w:rFonts w:ascii="arial" w:eastAsia="arial" w:hAnsi="arial" w:cs="arial"/>
            <w:b w:val="0"/>
            <w:i/>
            <w:strike w:val="0"/>
            <w:noProof w:val="0"/>
            <w:color w:val="0077CC"/>
            <w:position w:val="0"/>
            <w:sz w:val="20"/>
            <w:u w:val="single"/>
            <w:vertAlign w:val="baseline"/>
          </w:rPr>
          <w:t>Title 8 and 18, United States Code, Sections 1325</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 [**8] </w:t>
      </w:r>
      <w:hyperlink r:id="rId20" w:history="1">
        <w:r>
          <w:rPr>
            <w:rFonts w:ascii="arial" w:eastAsia="arial" w:hAnsi="arial" w:cs="arial"/>
            <w:b w:val="0"/>
            <w:i/>
            <w:strike w:val="0"/>
            <w:noProof w:val="0"/>
            <w:color w:val="0077CC"/>
            <w:position w:val="0"/>
            <w:sz w:val="20"/>
            <w:u w:val="single"/>
            <w:vertAlign w:val="baseline"/>
          </w:rPr>
          <w:t>2(a)</w:t>
        </w:r>
      </w:hyperlink>
      <w:r>
        <w:rPr>
          <w:rFonts w:ascii="arial" w:eastAsia="arial" w:hAnsi="arial" w:cs="arial"/>
          <w:b w:val="0"/>
          <w:i w:val="0"/>
          <w:strike w:val="0"/>
          <w:noProof w:val="0"/>
          <w:color w:val="000000"/>
          <w:position w:val="0"/>
          <w:sz w:val="20"/>
          <w:u w:val="none"/>
          <w:vertAlign w:val="baseline"/>
        </w:rPr>
        <w:t xml:space="preserve">, as charged by Criminal Complaint." Santos heavily relies on his argument that the conviction documents do not state what subsection of </w:t>
      </w:r>
      <w:hyperlink r:id="rId14" w:history="1">
        <w:r>
          <w:rPr>
            <w:rFonts w:ascii="arial" w:eastAsia="arial" w:hAnsi="arial" w:cs="arial"/>
            <w:b w:val="0"/>
            <w:i/>
            <w:strike w:val="0"/>
            <w:noProof w:val="0"/>
            <w:color w:val="0077CC"/>
            <w:position w:val="0"/>
            <w:sz w:val="20"/>
            <w:u w:val="single"/>
            <w:vertAlign w:val="baseline"/>
          </w:rPr>
          <w:t>§ 1325(a)</w:t>
        </w:r>
      </w:hyperlink>
      <w:r>
        <w:rPr>
          <w:rFonts w:ascii="arial" w:eastAsia="arial" w:hAnsi="arial" w:cs="arial"/>
          <w:b w:val="0"/>
          <w:i w:val="0"/>
          <w:strike w:val="0"/>
          <w:noProof w:val="0"/>
          <w:color w:val="000000"/>
          <w:position w:val="0"/>
          <w:sz w:val="20"/>
          <w:u w:val="none"/>
          <w:vertAlign w:val="baseline"/>
        </w:rPr>
        <w:t xml:space="preserve"> he was charged with violating, and thus that he could have been convicted of merely aiding Fonseca to elude examination or inspection in a manner unconnected to entry. </w:t>
      </w:r>
      <w:bookmarkStart w:id="52" w:name="Bookmark_I5BV5J222HM6FD0020000400"/>
      <w:bookmarkEnd w:id="52"/>
      <w:r>
        <w:rPr>
          <w:rFonts w:ascii="arial" w:eastAsia="arial" w:hAnsi="arial" w:cs="arial"/>
          <w:b w:val="0"/>
          <w:i w:val="0"/>
          <w:strike w:val="0"/>
          <w:noProof w:val="0"/>
          <w:color w:val="000000"/>
          <w:position w:val="0"/>
          <w:sz w:val="20"/>
          <w:u w:val="none"/>
          <w:vertAlign w:val="baseline"/>
        </w:rPr>
        <w:t xml:space="preserve">However, the conviction documents clearly describe aiding and abetting an illegal entry. Santos makes a similar argument that the conviction documents establish that, at most, he was convicted of mere transporting. </w:t>
      </w:r>
      <w:bookmarkStart w:id="53" w:name="Bookmark_I5BV5J222HM6FD0040000400"/>
      <w:bookmarkEnd w:id="53"/>
      <w:r>
        <w:rPr>
          <w:rFonts w:ascii="arial" w:eastAsia="arial" w:hAnsi="arial" w:cs="arial"/>
          <w:b w:val="0"/>
          <w:i w:val="0"/>
          <w:strike w:val="0"/>
          <w:noProof w:val="0"/>
          <w:color w:val="000000"/>
          <w:position w:val="0"/>
          <w:sz w:val="20"/>
          <w:u w:val="none"/>
          <w:vertAlign w:val="baseline"/>
        </w:rPr>
        <w:t xml:space="preserve">However, the fact that the transporting was sufficiently connected to the entry is also established by the conviction itself, for "aid[ing] and abet[ting] illegal entry . . . by attempting to transport [Fonseca] to further his entry into the United States." </w:t>
      </w:r>
      <w:r>
        <w:rPr>
          <w:rFonts w:ascii="arial" w:eastAsia="arial" w:hAnsi="arial" w:cs="arial"/>
          <w:b w:val="0"/>
          <w:i/>
          <w:strike w:val="0"/>
          <w:noProof w:val="0"/>
          <w:color w:val="000000"/>
          <w:position w:val="0"/>
          <w:sz w:val="20"/>
          <w:u w:val="none"/>
          <w:vertAlign w:val="baseline"/>
        </w:rPr>
        <w:t xml:space="preserve">See </w:t>
      </w:r>
      <w:hyperlink r:id="rId32" w:history="1">
        <w:r>
          <w:rPr>
            <w:rFonts w:ascii="arial" w:eastAsia="arial" w:hAnsi="arial" w:cs="arial"/>
            <w:b w:val="0"/>
            <w:i/>
            <w:strike w:val="0"/>
            <w:noProof w:val="0"/>
            <w:color w:val="0077CC"/>
            <w:position w:val="0"/>
            <w:sz w:val="20"/>
            <w:u w:val="single"/>
            <w:vertAlign w:val="baseline"/>
          </w:rPr>
          <w:t>Matter of I- M-</w:t>
        </w:r>
      </w:hyperlink>
      <w:hyperlink r:id="rId32" w:history="1">
        <w:r>
          <w:rPr>
            <w:rFonts w:ascii="arial" w:eastAsia="arial" w:hAnsi="arial" w:cs="arial"/>
            <w:b w:val="0"/>
            <w:i/>
            <w:strike w:val="0"/>
            <w:noProof w:val="0"/>
            <w:color w:val="0077CC"/>
            <w:position w:val="0"/>
            <w:sz w:val="20"/>
            <w:u w:val="single"/>
            <w:vertAlign w:val="baseline"/>
          </w:rPr>
          <w:t>, 7 I. &amp; N. Dec. 389, 391</w:t>
        </w:r>
      </w:hyperlink>
      <w:r>
        <w:rPr>
          <w:rFonts w:ascii="arial" w:eastAsia="arial" w:hAnsi="arial" w:cs="arial"/>
          <w:b w:val="0"/>
          <w:i w:val="0"/>
          <w:strike w:val="0"/>
          <w:noProof w:val="0"/>
          <w:color w:val="000000"/>
          <w:position w:val="0"/>
          <w:sz w:val="20"/>
          <w:u w:val="none"/>
          <w:vertAlign w:val="baseline"/>
        </w:rPr>
        <w:t xml:space="preserve"> (BIA 1957) (explaining that transporting can be aiding entry where aliens were picked up after entry with a previous design); </w:t>
      </w:r>
      <w:r>
        <w:rPr>
          <w:rFonts w:ascii="arial" w:eastAsia="arial" w:hAnsi="arial" w:cs="arial"/>
          <w:b w:val="0"/>
          <w:i/>
          <w:strike w:val="0"/>
          <w:noProof w:val="0"/>
          <w:color w:val="000000"/>
          <w:position w:val="0"/>
          <w:sz w:val="20"/>
          <w:u w:val="none"/>
          <w:vertAlign w:val="baseline"/>
        </w:rPr>
        <w:t xml:space="preserve">see also </w:t>
      </w:r>
      <w:bookmarkStart w:id="54" w:name="Bookmark_I5BV5J222HM6FD0010000400"/>
      <w:bookmarkEnd w:id="54"/>
      <w:hyperlink r:id="rId33" w:history="1">
        <w:r>
          <w:rPr>
            <w:rFonts w:ascii="arial" w:eastAsia="arial" w:hAnsi="arial" w:cs="arial"/>
            <w:b w:val="0"/>
            <w:i/>
            <w:strike w:val="0"/>
            <w:noProof w:val="0"/>
            <w:color w:val="0077CC"/>
            <w:position w:val="0"/>
            <w:sz w:val="20"/>
            <w:u w:val="single"/>
            <w:vertAlign w:val="baseline"/>
          </w:rPr>
          <w:t>United States v. Flores-Peraza</w:t>
        </w:r>
      </w:hyperlink>
      <w:hyperlink r:id="rId33" w:history="1">
        <w:r>
          <w:rPr>
            <w:rFonts w:ascii="arial" w:eastAsia="arial" w:hAnsi="arial" w:cs="arial"/>
            <w:b w:val="0"/>
            <w:i/>
            <w:strike w:val="0"/>
            <w:noProof w:val="0"/>
            <w:color w:val="0077CC"/>
            <w:position w:val="0"/>
            <w:sz w:val="20"/>
            <w:u w:val="single"/>
            <w:vertAlign w:val="baseline"/>
          </w:rPr>
          <w:t>, 58 F.3d 164, 168 (5th Cir. 1995)</w:t>
        </w:r>
      </w:hyperlink>
      <w:r>
        <w:rPr>
          <w:rFonts w:ascii="arial" w:eastAsia="arial" w:hAnsi="arial" w:cs="arial"/>
          <w:b w:val="0"/>
          <w:i w:val="0"/>
          <w:strike w:val="0"/>
          <w:noProof w:val="0"/>
          <w:color w:val="000000"/>
          <w:position w:val="0"/>
          <w:sz w:val="20"/>
          <w:u w:val="none"/>
          <w:vertAlign w:val="baseline"/>
        </w:rPr>
        <w:t xml:space="preserve"> (noting that </w:t>
      </w:r>
      <w:hyperlink r:id="rId14" w:history="1">
        <w:r>
          <w:rPr>
            <w:rFonts w:ascii="arial" w:eastAsia="arial" w:hAnsi="arial" w:cs="arial"/>
            <w:b w:val="0"/>
            <w:i/>
            <w:strike w:val="0"/>
            <w:noProof w:val="0"/>
            <w:color w:val="0077CC"/>
            <w:position w:val="0"/>
            <w:sz w:val="20"/>
            <w:u w:val="single"/>
            <w:vertAlign w:val="baseline"/>
          </w:rPr>
          <w:t>§ 1325(a)</w:t>
        </w:r>
      </w:hyperlink>
      <w:r>
        <w:rPr>
          <w:rFonts w:ascii="arial" w:eastAsia="arial" w:hAnsi="arial" w:cs="arial"/>
          <w:b w:val="0"/>
          <w:i w:val="0"/>
          <w:strike w:val="0"/>
          <w:noProof w:val="0"/>
          <w:color w:val="000000"/>
          <w:position w:val="0"/>
          <w:sz w:val="20"/>
          <w:u w:val="none"/>
          <w:vertAlign w:val="baseline"/>
        </w:rPr>
        <w:t xml:space="preserve"> "requires the government to prove how the entry was effected"). </w:t>
      </w:r>
      <w:bookmarkStart w:id="55" w:name="Bookmark_I5BV5J222HM6FD0040000400_2"/>
      <w:bookmarkEnd w:id="55"/>
      <w:r>
        <w:rPr>
          <w:rFonts w:ascii="arial" w:eastAsia="arial" w:hAnsi="arial" w:cs="arial"/>
          <w:b w:val="0"/>
          <w:i w:val="0"/>
          <w:strike w:val="0"/>
          <w:noProof w:val="0"/>
          <w:color w:val="000000"/>
          <w:position w:val="0"/>
          <w:sz w:val="20"/>
          <w:u w:val="none"/>
          <w:vertAlign w:val="baseline"/>
        </w:rPr>
        <w:t>Santos's arguments are essentially</w:t>
      </w:r>
      <w:bookmarkStart w:id="56" w:name="Bookmark_LNHNREFclscc6"/>
      <w:bookmarkEnd w:id="56"/>
      <w:hyperlink r:id="rId34"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collateral attacks on his prior conviction,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which are not permitted in an appeal of a removal order. </w:t>
      </w:r>
      <w:r>
        <w:rPr>
          <w:rFonts w:ascii="arial" w:eastAsia="arial" w:hAnsi="arial" w:cs="arial"/>
          <w:b w:val="0"/>
          <w:i/>
          <w:strike w:val="0"/>
          <w:noProof w:val="0"/>
          <w:color w:val="000000"/>
          <w:position w:val="0"/>
          <w:sz w:val="20"/>
          <w:u w:val="none"/>
          <w:vertAlign w:val="baseline"/>
        </w:rPr>
        <w:t xml:space="preserve">See </w:t>
      </w:r>
      <w:bookmarkStart w:id="57" w:name="Bookmark_I5BV5J222HM6FD0030000400"/>
      <w:bookmarkEnd w:id="57"/>
      <w:hyperlink r:id="rId35" w:history="1">
        <w:r>
          <w:rPr>
            <w:rFonts w:ascii="arial" w:eastAsia="arial" w:hAnsi="arial" w:cs="arial"/>
            <w:b w:val="0"/>
            <w:i/>
            <w:strike w:val="0"/>
            <w:noProof w:val="0"/>
            <w:color w:val="0077CC"/>
            <w:position w:val="0"/>
            <w:sz w:val="20"/>
            <w:u w:val="single"/>
            <w:vertAlign w:val="baseline"/>
          </w:rPr>
          <w:t>Brown v. INS</w:t>
        </w:r>
      </w:hyperlink>
      <w:hyperlink r:id="rId35" w:history="1">
        <w:r>
          <w:rPr>
            <w:rFonts w:ascii="arial" w:eastAsia="arial" w:hAnsi="arial" w:cs="arial"/>
            <w:b w:val="0"/>
            <w:i/>
            <w:strike w:val="0"/>
            <w:noProof w:val="0"/>
            <w:color w:val="0077CC"/>
            <w:position w:val="0"/>
            <w:sz w:val="20"/>
            <w:u w:val="single"/>
            <w:vertAlign w:val="baseline"/>
          </w:rPr>
          <w:t>, 856 F.2d 728, 731 (5th Cir. 1988)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8" w:name="Bookmark_I5BV5J222HM6FD0050000400"/>
      <w:bookmarkEnd w:id="58"/>
      <w:hyperlink r:id="rId36" w:history="1">
        <w:r>
          <w:rPr>
            <w:rFonts w:ascii="arial" w:eastAsia="arial" w:hAnsi="arial" w:cs="arial"/>
            <w:b w:val="0"/>
            <w:i/>
            <w:strike w:val="0"/>
            <w:noProof w:val="0"/>
            <w:color w:val="0077CC"/>
            <w:position w:val="0"/>
            <w:sz w:val="20"/>
            <w:u w:val="single"/>
            <w:vertAlign w:val="baseline"/>
          </w:rPr>
          <w:t>Zinnanti v. INS</w:t>
        </w:r>
      </w:hyperlink>
      <w:hyperlink r:id="rId36" w:history="1">
        <w:r>
          <w:rPr>
            <w:rFonts w:ascii="arial" w:eastAsia="arial" w:hAnsi="arial" w:cs="arial"/>
            <w:b w:val="0"/>
            <w:i/>
            <w:strike w:val="0"/>
            <w:noProof w:val="0"/>
            <w:color w:val="0077CC"/>
            <w:position w:val="0"/>
            <w:sz w:val="20"/>
            <w:u w:val="single"/>
            <w:vertAlign w:val="baseline"/>
          </w:rPr>
          <w:t>, 651 F.2d 420, 421 (5th Cir. 1981)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9" w:name="Bookmark_para_13"/>
      <w:bookmarkEnd w:id="59"/>
      <w:r>
        <w:rPr>
          <w:rFonts w:ascii="arial" w:eastAsia="arial" w:hAnsi="arial" w:cs="arial"/>
          <w:b w:val="0"/>
          <w:i w:val="0"/>
          <w:strike w:val="0"/>
          <w:noProof w:val="0"/>
          <w:color w:val="000000"/>
          <w:position w:val="0"/>
          <w:sz w:val="20"/>
          <w:u w:val="none"/>
          <w:vertAlign w:val="baseline"/>
        </w:rPr>
        <w:t xml:space="preserve">The BIA's finding that the conviction documents associated with Santos's § 1325(a) conviction established Santos's removability pursuant to </w:t>
      </w:r>
      <w:hyperlink r:id="rId16" w:history="1">
        <w:r>
          <w:rPr>
            <w:rFonts w:ascii="arial" w:eastAsia="arial" w:hAnsi="arial" w:cs="arial"/>
            <w:b w:val="0"/>
            <w:i/>
            <w:strike w:val="0"/>
            <w:noProof w:val="0"/>
            <w:color w:val="0077CC"/>
            <w:position w:val="0"/>
            <w:sz w:val="20"/>
            <w:u w:val="single"/>
            <w:vertAlign w:val="baseline"/>
          </w:rPr>
          <w:t>§ 1227(a)(1)(E)(i)</w:t>
        </w:r>
      </w:hyperlink>
      <w:r>
        <w:rPr>
          <w:rFonts w:ascii="arial" w:eastAsia="arial" w:hAnsi="arial" w:cs="arial"/>
          <w:b w:val="0"/>
          <w:i w:val="0"/>
          <w:strike w:val="0"/>
          <w:noProof w:val="0"/>
          <w:color w:val="000000"/>
          <w:position w:val="0"/>
          <w:sz w:val="20"/>
          <w:u w:val="none"/>
          <w:vertAlign w:val="baseline"/>
        </w:rPr>
        <w:t xml:space="preserve"> is supported by substantial evidence.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[*395]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60" w:name="Bookmark_para_14"/>
      <w:bookmarkEnd w:id="60"/>
      <w:r>
        <w:rPr>
          <w:rFonts w:ascii="arial" w:eastAsia="arial" w:hAnsi="arial" w:cs="arial"/>
          <w:b w:val="0"/>
          <w:i w:val="0"/>
          <w:strike w:val="0"/>
          <w:noProof w:val="0"/>
          <w:color w:val="000000"/>
          <w:position w:val="0"/>
          <w:sz w:val="20"/>
          <w:u w:val="none"/>
          <w:vertAlign w:val="baseline"/>
        </w:rPr>
        <w:t>For the foregoing reasons, the petition for review is DENIED.</w:t>
      </w:r>
    </w:p>
    <w:p/>
    <w:p>
      <w:pPr>
        <w:ind w:left="200"/>
      </w:pPr>
      <w:r>
        <w:br/>
      </w:r>
      <w:r>
        <w:pict>
          <v:line id="_x0000_s104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6" w:name="Bookmark_fnpara_1"/>
      <w:bookmarkEnd w:id="26"/>
      <w:r>
        <w:rPr>
          <w:rFonts w:ascii="arial" w:eastAsia="arial" w:hAnsi="arial" w:cs="arial"/>
          <w:b w:val="0"/>
          <w:i w:val="0"/>
          <w:strike w:val="0"/>
          <w:noProof w:val="0"/>
          <w:color w:val="000000"/>
          <w:position w:val="0"/>
          <w:sz w:val="18"/>
          <w:u w:val="none"/>
          <w:vertAlign w:val="baseline"/>
        </w:rPr>
        <w:t xml:space="preserve">The IJ appears to have </w:t>
      </w:r>
      <w:r>
        <w:rPr>
          <w:rFonts w:ascii="arial" w:eastAsia="arial" w:hAnsi="arial" w:cs="arial"/>
          <w:b/>
          <w:i w:val="0"/>
          <w:strike w:val="0"/>
          <w:noProof w:val="0"/>
          <w:color w:val="000000"/>
          <w:position w:val="0"/>
          <w:sz w:val="18"/>
          <w:u w:val="none"/>
          <w:vertAlign w:val="baseline"/>
        </w:rPr>
        <w:t> [**3] </w:t>
      </w:r>
      <w:r>
        <w:rPr>
          <w:rFonts w:ascii="arial" w:eastAsia="arial" w:hAnsi="arial" w:cs="arial"/>
          <w:b w:val="0"/>
          <w:i w:val="0"/>
          <w:strike w:val="0"/>
          <w:noProof w:val="0"/>
          <w:color w:val="000000"/>
          <w:position w:val="0"/>
          <w:sz w:val="18"/>
          <w:u w:val="none"/>
          <w:vertAlign w:val="baseline"/>
        </w:rPr>
        <w:t xml:space="preserve">concluded that since violation of </w:t>
      </w:r>
      <w:hyperlink r:id="rId1" w:history="1">
        <w:r>
          <w:rPr>
            <w:rFonts w:ascii="arial" w:eastAsia="arial" w:hAnsi="arial" w:cs="arial"/>
            <w:b w:val="0"/>
            <w:i/>
            <w:strike w:val="0"/>
            <w:noProof w:val="0"/>
            <w:color w:val="0077CC"/>
            <w:position w:val="0"/>
            <w:sz w:val="18"/>
            <w:u w:val="single"/>
            <w:vertAlign w:val="baseline"/>
          </w:rPr>
          <w:t>§ 1325(a)</w:t>
        </w:r>
      </w:hyperlink>
      <w:r>
        <w:rPr>
          <w:rFonts w:ascii="arial" w:eastAsia="arial" w:hAnsi="arial" w:cs="arial"/>
          <w:b w:val="0"/>
          <w:i w:val="0"/>
          <w:strike w:val="0"/>
          <w:noProof w:val="0"/>
          <w:color w:val="000000"/>
          <w:position w:val="0"/>
          <w:sz w:val="18"/>
          <w:u w:val="none"/>
          <w:vertAlign w:val="baseline"/>
        </w:rPr>
        <w:t xml:space="preserve"> is not an aggravated felony, Santos was not removable. However, DHS charged Santos with being removable under </w:t>
      </w:r>
      <w:hyperlink r:id="rId2" w:history="1">
        <w:r>
          <w:rPr>
            <w:rFonts w:ascii="arial" w:eastAsia="arial" w:hAnsi="arial" w:cs="arial"/>
            <w:b w:val="0"/>
            <w:i/>
            <w:strike w:val="0"/>
            <w:noProof w:val="0"/>
            <w:color w:val="0077CC"/>
            <w:position w:val="0"/>
            <w:sz w:val="18"/>
            <w:u w:val="single"/>
            <w:vertAlign w:val="baseline"/>
          </w:rPr>
          <w:t>8 U.S.C. § 1227(a)(1)(E)(i)</w:t>
        </w:r>
      </w:hyperlink>
      <w:r>
        <w:rPr>
          <w:rFonts w:ascii="arial" w:eastAsia="arial" w:hAnsi="arial" w:cs="arial"/>
          <w:b w:val="0"/>
          <w:i w:val="0"/>
          <w:strike w:val="0"/>
          <w:noProof w:val="0"/>
          <w:color w:val="000000"/>
          <w:position w:val="0"/>
          <w:sz w:val="18"/>
          <w:u w:val="none"/>
          <w:vertAlign w:val="baseline"/>
        </w:rPr>
        <w:t xml:space="preserve">, not under the aggravated felony removability provision, </w:t>
      </w:r>
      <w:hyperlink r:id="rId2" w:history="1">
        <w:r>
          <w:rPr>
            <w:rFonts w:ascii="arial" w:eastAsia="arial" w:hAnsi="arial" w:cs="arial"/>
            <w:b w:val="0"/>
            <w:i/>
            <w:strike w:val="0"/>
            <w:noProof w:val="0"/>
            <w:color w:val="0077CC"/>
            <w:position w:val="0"/>
            <w:sz w:val="18"/>
            <w:u w:val="single"/>
            <w:vertAlign w:val="baseline"/>
          </w:rPr>
          <w:t>8 U.S.C. § 1227(a)(2)(A)(iii)</w:t>
        </w:r>
      </w:hyperlink>
      <w:r>
        <w:rPr>
          <w:rFonts w:ascii="arial" w:eastAsia="arial" w:hAnsi="arial" w:cs="arial"/>
          <w:b w:val="0"/>
          <w:i w:val="0"/>
          <w:strike w:val="0"/>
          <w:noProof w:val="0"/>
          <w:color w:val="000000"/>
          <w:position w:val="0"/>
          <w:sz w:val="18"/>
          <w:u w:val="none"/>
          <w:vertAlign w:val="baseline"/>
        </w:rPr>
        <w:t xml:space="preserve">. Violation of </w:t>
      </w:r>
      <w:hyperlink r:id="rId1" w:history="1">
        <w:r>
          <w:rPr>
            <w:rFonts w:ascii="arial" w:eastAsia="arial" w:hAnsi="arial" w:cs="arial"/>
            <w:b w:val="0"/>
            <w:i/>
            <w:strike w:val="0"/>
            <w:noProof w:val="0"/>
            <w:color w:val="0077CC"/>
            <w:position w:val="0"/>
            <w:sz w:val="18"/>
            <w:u w:val="single"/>
            <w:vertAlign w:val="baseline"/>
          </w:rPr>
          <w:t>§ 1325(a)</w:t>
        </w:r>
      </w:hyperlink>
      <w:r>
        <w:rPr>
          <w:rFonts w:ascii="arial" w:eastAsia="arial" w:hAnsi="arial" w:cs="arial"/>
          <w:b w:val="0"/>
          <w:i w:val="0"/>
          <w:strike w:val="0"/>
          <w:noProof w:val="0"/>
          <w:color w:val="000000"/>
          <w:position w:val="0"/>
          <w:sz w:val="18"/>
          <w:u w:val="none"/>
          <w:vertAlign w:val="baseline"/>
        </w:rPr>
        <w:t xml:space="preserve"> is not an aggravated felony. </w:t>
      </w:r>
      <w:hyperlink r:id="rId3" w:history="1">
        <w:r>
          <w:rPr>
            <w:rFonts w:ascii="arial" w:eastAsia="arial" w:hAnsi="arial" w:cs="arial"/>
            <w:b w:val="0"/>
            <w:i/>
            <w:strike w:val="0"/>
            <w:noProof w:val="0"/>
            <w:color w:val="0077CC"/>
            <w:position w:val="0"/>
            <w:sz w:val="18"/>
            <w:u w:val="single"/>
            <w:vertAlign w:val="baseline"/>
          </w:rPr>
          <w:t>In re Alvarado-Alvino</w:t>
        </w:r>
      </w:hyperlink>
      <w:hyperlink r:id="rId3" w:history="1">
        <w:r>
          <w:rPr>
            <w:rFonts w:ascii="arial" w:eastAsia="arial" w:hAnsi="arial" w:cs="arial"/>
            <w:b w:val="0"/>
            <w:i/>
            <w:strike w:val="0"/>
            <w:noProof w:val="0"/>
            <w:color w:val="0077CC"/>
            <w:position w:val="0"/>
            <w:sz w:val="18"/>
            <w:u w:val="single"/>
            <w:vertAlign w:val="baseline"/>
          </w:rPr>
          <w:t>, 22 I. &amp; N. Dec. 718, 720-21</w:t>
        </w:r>
      </w:hyperlink>
      <w:r>
        <w:rPr>
          <w:rFonts w:ascii="arial" w:eastAsia="arial" w:hAnsi="arial" w:cs="arial"/>
          <w:b w:val="0"/>
          <w:i w:val="0"/>
          <w:strike w:val="0"/>
          <w:noProof w:val="0"/>
          <w:color w:val="000000"/>
          <w:position w:val="0"/>
          <w:sz w:val="18"/>
          <w:u w:val="none"/>
          <w:vertAlign w:val="baseline"/>
        </w:rPr>
        <w:t xml:space="preserve"> (BIA 1999).</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9" w:name="Bookmark_fnpara_2"/>
      <w:bookmarkEnd w:id="29"/>
      <w:r>
        <w:rPr>
          <w:rFonts w:ascii="arial" w:eastAsia="arial" w:hAnsi="arial" w:cs="arial"/>
          <w:b w:val="0"/>
          <w:i w:val="0"/>
          <w:strike w:val="0"/>
          <w:noProof w:val="0"/>
          <w:color w:val="000000"/>
          <w:position w:val="0"/>
          <w:sz w:val="18"/>
          <w:u w:val="none"/>
          <w:vertAlign w:val="baseline"/>
        </w:rPr>
        <w:t xml:space="preserve">The district court subsequently denied the writ of coram nobis, and this court affirmed. </w:t>
      </w:r>
      <w:r>
        <w:rPr>
          <w:rFonts w:ascii="arial" w:eastAsia="arial" w:hAnsi="arial" w:cs="arial"/>
          <w:b w:val="0"/>
          <w:i/>
          <w:strike w:val="0"/>
          <w:noProof w:val="0"/>
          <w:color w:val="000000"/>
          <w:position w:val="0"/>
          <w:sz w:val="18"/>
          <w:u w:val="none"/>
          <w:vertAlign w:val="baseline"/>
        </w:rPr>
        <w:t xml:space="preserve">See </w:t>
      </w:r>
      <w:bookmarkStart w:id="30" w:name="Bookmark_I5BV5J222D6MWD0010000400"/>
      <w:bookmarkEnd w:id="30"/>
      <w:hyperlink r:id="rId4" w:history="1">
        <w:r>
          <w:rPr>
            <w:rFonts w:ascii="arial" w:eastAsia="arial" w:hAnsi="arial" w:cs="arial"/>
            <w:b w:val="0"/>
            <w:i/>
            <w:strike w:val="0"/>
            <w:noProof w:val="0"/>
            <w:color w:val="0077CC"/>
            <w:position w:val="0"/>
            <w:sz w:val="18"/>
            <w:u w:val="single"/>
            <w:vertAlign w:val="baseline"/>
          </w:rPr>
          <w:t>Santos-Sanchez v. United States</w:t>
        </w:r>
      </w:hyperlink>
      <w:hyperlink r:id="rId4" w:history="1">
        <w:r>
          <w:rPr>
            <w:rFonts w:ascii="arial" w:eastAsia="arial" w:hAnsi="arial" w:cs="arial"/>
            <w:b w:val="0"/>
            <w:i/>
            <w:strike w:val="0"/>
            <w:noProof w:val="0"/>
            <w:color w:val="0077CC"/>
            <w:position w:val="0"/>
            <w:sz w:val="18"/>
            <w:u w:val="single"/>
            <w:vertAlign w:val="baseline"/>
          </w:rPr>
          <w:t>, 482 F. App'x 953, 954 (5th Cir. 2012)</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3" w:name="Bookmark_fnpara_3"/>
      <w:bookmarkEnd w:id="33"/>
      <w:r>
        <w:rPr>
          <w:rFonts w:ascii="arial" w:eastAsia="arial" w:hAnsi="arial" w:cs="arial"/>
          <w:b w:val="0"/>
          <w:i w:val="0"/>
          <w:strike w:val="0"/>
          <w:noProof w:val="0"/>
          <w:color w:val="000000"/>
          <w:position w:val="0"/>
          <w:sz w:val="18"/>
          <w:u w:val="none"/>
          <w:vertAlign w:val="baseline"/>
        </w:rPr>
        <w:t xml:space="preserve">In November 2009, this court granted Santos's unopposed Motion to Abate Appeal pending the determination of his petition for writ of certiorari to the Supreme Court in his coram nobis proceeding. The Supreme Court denied Santos's petition on May 28, 2013, </w:t>
      </w:r>
      <w:bookmarkStart w:id="34" w:name="Bookmark_I5BV5J222D6MWD0030000400"/>
      <w:bookmarkEnd w:id="34"/>
      <w:r>
        <w:rPr>
          <w:rFonts w:ascii="arial" w:eastAsia="arial" w:hAnsi="arial" w:cs="arial"/>
          <w:b/>
          <w:i/>
          <w:strike w:val="0"/>
          <w:noProof w:val="0"/>
          <w:color w:val="000000"/>
          <w:position w:val="0"/>
          <w:sz w:val="18"/>
          <w:u w:val="none"/>
          <w:vertAlign w:val="baseline"/>
        </w:rPr>
        <w:t>Santos-Sanchez v. United States</w:t>
      </w:r>
      <w:r>
        <w:rPr>
          <w:rFonts w:ascii="arial" w:eastAsia="arial" w:hAnsi="arial" w:cs="arial"/>
          <w:b/>
          <w:i/>
          <w:strike w:val="0"/>
          <w:noProof w:val="0"/>
          <w:color w:val="000000"/>
          <w:position w:val="0"/>
          <w:sz w:val="18"/>
          <w:u w:val="none"/>
          <w:vertAlign w:val="baseline"/>
        </w:rPr>
        <w:t>, 133 S. Ct. 2734, 186 L. Ed. 2d 209 (2013)</w:t>
      </w:r>
      <w:r>
        <w:rPr>
          <w:rFonts w:ascii="arial" w:eastAsia="arial" w:hAnsi="arial" w:cs="arial"/>
          <w:b w:val="0"/>
          <w:i w:val="0"/>
          <w:strike w:val="0"/>
          <w:noProof w:val="0"/>
          <w:color w:val="000000"/>
          <w:position w:val="0"/>
          <w:sz w:val="18"/>
          <w:u w:val="none"/>
          <w:vertAlign w:val="baseline"/>
        </w:rPr>
        <w:t>, and this appeal was removed from abeyance.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Santos-Sanchez v. Holder, 744 F.3d 391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BP0-CVK1-F04K-N4C7-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5BP0-CVK1-F04K-N4C7-00000-00&amp;context=1519360&amp;link=LNHNREFclscc2" TargetMode="External" /><Relationship Id="rId13" Type="http://schemas.openxmlformats.org/officeDocument/2006/relationships/hyperlink" Target="https://advance.lexis.com/api/document?collection=cases&amp;id=urn:contentItem:5BP0-CVK1-F04K-N4C7-00000-00&amp;context=1519360&amp;link=LNHNREFclscc3" TargetMode="External" /><Relationship Id="rId14" Type="http://schemas.openxmlformats.org/officeDocument/2006/relationships/hyperlink" Target="https://advance.lexis.com/api/document?collection=statutes-legislation&amp;id=urn:contentItem:8S6M-T0S2-D6RV-H4B0-00000-00&amp;context=1519360" TargetMode="External" /><Relationship Id="rId15" Type="http://schemas.openxmlformats.org/officeDocument/2006/relationships/hyperlink" Target="https://advance.lexis.com/api/document?collection=cases&amp;id=urn:contentItem:5BP0-CVK1-F04K-N4C7-00000-00&amp;context=1519360&amp;link=LNHNREFclscc4" TargetMode="External" /><Relationship Id="rId16" Type="http://schemas.openxmlformats.org/officeDocument/2006/relationships/hyperlink" Target="https://advance.lexis.com/api/document?collection=statutes-legislation&amp;id=urn:contentItem:8S6M-T0S2-D6RV-H483-00000-00&amp;context=1519360" TargetMode="External" /><Relationship Id="rId17" Type="http://schemas.openxmlformats.org/officeDocument/2006/relationships/hyperlink" Target="https://advance.lexis.com/api/document?collection=cases&amp;id=urn:contentItem:5BP0-CVK1-F04K-N4C7-00000-00&amp;context=1519360&amp;link=LNHNREFclscc5" TargetMode="External" /><Relationship Id="rId18" Type="http://schemas.openxmlformats.org/officeDocument/2006/relationships/hyperlink" Target="https://advance.lexis.com/api/document?collection=statutes-legislation&amp;id=urn:contentItem:8S6M-T0S2-D6RV-H486-00000-00&amp;context=1519360" TargetMode="External" /><Relationship Id="rId19" Type="http://schemas.openxmlformats.org/officeDocument/2006/relationships/hyperlink" Target="https://advance.lexis.com/api/document?collection=cases&amp;id=urn:contentItem:5BP0-CVK1-F04K-N4C7-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G9-5032-D6RV-H4XK-00000-00&amp;context=1519360" TargetMode="External" /><Relationship Id="rId21" Type="http://schemas.openxmlformats.org/officeDocument/2006/relationships/hyperlink" Target="https://advance.lexis.com/api/document?collection=statutes-legislation&amp;id=urn:contentItem:6FB3-J4T3-RSTT-V33B-00000-00&amp;context=1519360" TargetMode="External" /><Relationship Id="rId22" Type="http://schemas.openxmlformats.org/officeDocument/2006/relationships/hyperlink" Target="https://advance.lexis.com/api/document?collection=cases&amp;id=urn:contentItem:5BP0-CVK1-F04K-N4C7-00000-00&amp;context=1519360&amp;link=clscc1" TargetMode="External" /><Relationship Id="rId23" Type="http://schemas.openxmlformats.org/officeDocument/2006/relationships/image" Target="media/image3.png" /><Relationship Id="rId24" Type="http://schemas.openxmlformats.org/officeDocument/2006/relationships/hyperlink" Target="https://advance.lexis.com/api/document?collection=cases&amp;id=urn:contentItem:3S4X-G0T0-003B-S0Y1-00000-00&amp;context=1519360" TargetMode="External" /><Relationship Id="rId25" Type="http://schemas.openxmlformats.org/officeDocument/2006/relationships/hyperlink" Target="https://advance.lexis.com/api/document?collection=cases&amp;id=urn:contentItem:5BP0-CVK1-F04K-N4C7-00000-00&amp;context=1519360&amp;link=clscc2" TargetMode="External" /><Relationship Id="rId26" Type="http://schemas.openxmlformats.org/officeDocument/2006/relationships/hyperlink" Target="https://advance.lexis.com/api/document?collection=cases&amp;id=urn:contentItem:3S4X-2VN0-006F-M2TP-00000-00&amp;context=1519360" TargetMode="External" /><Relationship Id="rId27" Type="http://schemas.openxmlformats.org/officeDocument/2006/relationships/hyperlink" Target="https://advance.lexis.com/api/document?collection=cases&amp;id=urn:contentItem:5BP0-CVK1-F04K-N4C7-00000-00&amp;context=1519360&amp;link=clscc3" TargetMode="External" /><Relationship Id="rId28" Type="http://schemas.openxmlformats.org/officeDocument/2006/relationships/hyperlink" Target="https://advance.lexis.com/api/document?collection=cases&amp;id=urn:contentItem:5BP0-CVK1-F04K-N4C7-00000-00&amp;context=1519360&amp;link=clscc4" TargetMode="External" /><Relationship Id="rId29" Type="http://schemas.openxmlformats.org/officeDocument/2006/relationships/hyperlink" Target="https://advance.lexis.com/api/document?collection=administrative-materials&amp;id=urn:contentItem:4XX2-K3V0-01KR-V04P-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BP0-CVK1-F04K-N4C7-00000-00&amp;context=1519360&amp;link=clscc5" TargetMode="External" /><Relationship Id="rId31" Type="http://schemas.openxmlformats.org/officeDocument/2006/relationships/hyperlink" Target="https://advance.lexis.com/api/document?collection=cases&amp;id=urn:contentItem:4GR3-J710-0038-X0K5-00000-00&amp;context=1519360" TargetMode="External" /><Relationship Id="rId32" Type="http://schemas.openxmlformats.org/officeDocument/2006/relationships/hyperlink" Target="https://advance.lexis.com/api/document?collection=administrative-materials&amp;id=urn:contentItem:3SGP-JT50-0039-B34H-00000-00&amp;context=1519360" TargetMode="External" /><Relationship Id="rId33" Type="http://schemas.openxmlformats.org/officeDocument/2006/relationships/hyperlink" Target="https://advance.lexis.com/api/document?collection=cases&amp;id=urn:contentItem:3S4X-DB30-001T-D2KM-00000-00&amp;context=1519360" TargetMode="External" /><Relationship Id="rId34" Type="http://schemas.openxmlformats.org/officeDocument/2006/relationships/hyperlink" Target="https://advance.lexis.com/api/document?collection=cases&amp;id=urn:contentItem:5BP0-CVK1-F04K-N4C7-00000-00&amp;context=1519360&amp;link=clscc6" TargetMode="External" /><Relationship Id="rId35" Type="http://schemas.openxmlformats.org/officeDocument/2006/relationships/hyperlink" Target="https://advance.lexis.com/api/document?collection=cases&amp;id=urn:contentItem:3S4W-XYT0-001B-K0C5-00000-00&amp;context=1519360" TargetMode="External" /><Relationship Id="rId36" Type="http://schemas.openxmlformats.org/officeDocument/2006/relationships/hyperlink" Target="https://advance.lexis.com/api/document?collection=cases&amp;id=urn:contentItem:3S4X-0G90-0039-W08T-00000-00&amp;context=1519360"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BP0-CVK1-F04K-N4C7-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6M-T0S2-D6RV-H4B0-00000-00&amp;context=1519360" TargetMode="External" /><Relationship Id="rId2" Type="http://schemas.openxmlformats.org/officeDocument/2006/relationships/hyperlink" Target="https://advance.lexis.com/api/document?collection=statutes-legislation&amp;id=urn:contentItem:8S6M-T0S2-D6RV-H483-00000-00&amp;context=1519360" TargetMode="External" /><Relationship Id="rId3" Type="http://schemas.openxmlformats.org/officeDocument/2006/relationships/hyperlink" Target="https://advance.lexis.com/api/document?collection=administrative-materials&amp;id=urn:contentItem:3WK2-THS0-0039-B4M0-00000-00&amp;context=1519360" TargetMode="External" /><Relationship Id="rId4" Type="http://schemas.openxmlformats.org/officeDocument/2006/relationships/hyperlink" Target="https://advance.lexis.com/api/document?collection=cases&amp;id=urn:contentItem:56TW-N701-F04K-N39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Santos-Sanchez v. Holder, 744 F.3d 391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vt:lpwstr>
  </property>
  <property fmtid="{D5CDD505-2E9C-101B-9397-08002B2CF9AE}" pid="3" name="LADocCount">
    <vt:lpwstr>1</vt:lpwstr>
  </property>
  <property fmtid="{D5CDD505-2E9C-101B-9397-08002B2CF9AE}" pid="4" name="LADocumentID:22">
    <vt:lpwstr>Doc::urn:hlct:5|contextualFeaturePermID::1519360</vt:lpwstr>
  </property>
  <property fmtid="{D5CDD505-2E9C-101B-9397-08002B2CF9AE}" pid="5" name="UserPermID">
    <vt:lpwstr>urn:user:PA186186298</vt:lpwstr>
  </property>
</Properties>
</file>