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Avila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Houston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2015, Decided; December 30, 2015,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H-15-606; CRIMINAL ACTION NO. 11-655-1</w:t>
      </w:r>
    </w:p>
    <w:p>
      <w:pPr>
        <w:keepNext w:val="0"/>
        <w:spacing w:after="0" w:line="240" w:lineRule="atLeast"/>
        <w:ind w:right="0"/>
        <w:jc w:val="both"/>
      </w:pPr>
      <w:bookmarkStart w:id="0" w:name="Bookmark_9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2015 U.S. Dist. LEXIS 182171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CESAR AVILA,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United States v. Avila, 547 Fed. Appx. 565, 2013 U.S. App. LEXIS 23347 (5th Cir. Tex., Nov. 20, 2013)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ineffective, firearm, motion to dismiss, hostage, movant, allegations, sentence, aliens, aiding and abetting, appellate counsel, equitable tolling, indictment, pleadings, assistance of counsel, illegal alien, pro se, prejudicial, one-year</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Cesar Avila, Petitioner, Pro se, Pollock,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United States of America, Respondent: Appellate Division, LEAD ATTORNEY, U.S. Attorney's Office, Southern District of Texas, Houston, TX; Sonah Lee, LEAD ATTORNEY, United States Attorney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Lee H. Rosenthal,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Lee H. Rosenthal</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AND ORDER GRANTING MOTION TO DISMISS</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The petitioner, Cesar Avila, filed this motion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challenging his 2012 felony conviction for his involvement in an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conspiracy. A jury convicted Avila of four counts of hostage taking, in violation of </w:t>
      </w:r>
      <w:hyperlink r:id="rId11"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one count of conspiracy to commit hostage taking, four counts of harboring illegal aliens, in violation of </w:t>
      </w:r>
      <w:hyperlink r:id="rId12"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and one count of conspiracy to harbor illegal aliens. He is serving a 420-month sentence. He appealed, challenging the sufficiency of the evidence, without success. In March 2015, he filed this motion under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raising that his trial and appellate counsel provided ineffective assistance because:</w:t>
      </w:r>
    </w:p>
    <w:p>
      <w:pPr>
        <w:keepNext w:val="0"/>
        <w:spacing w:before="200" w:after="0" w:line="260" w:lineRule="atLeast"/>
        <w:ind w:left="40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(1) Counsel should have opposed the release of material witnesses whose "testimony would have resulted in a different outcome in the jury guilty verdict…[Counsel] did not take any steps to compel these material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witnesses" whose testimony was material to his defense;</w:t>
      </w:r>
    </w:p>
    <w:p>
      <w:pPr>
        <w:keepNext w:val="0"/>
        <w:spacing w:after="0" w:line="260" w:lineRule="atLeast"/>
        <w:ind w:left="40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(2) Counsel failed to object to the aiding and abetting jury instruction when the offense of aiding and abetting was not alleged in the indictment;</w:t>
      </w:r>
    </w:p>
    <w:p>
      <w:pPr>
        <w:keepNext w:val="0"/>
        <w:spacing w:after="0" w:line="260" w:lineRule="atLeast"/>
        <w:ind w:left="40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(3) Counsel "did not object to the prosecution's failure to meet its constitutional duty of proof beyond a reasonable that Movant 'used' a firearm in relation to the crime of hostage taking;" and</w:t>
      </w:r>
    </w:p>
    <w:p>
      <w:pPr>
        <w:keepNext w:val="0"/>
        <w:spacing w:after="0" w:line="260" w:lineRule="atLeast"/>
        <w:ind w:left="4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(4) Counsel submitted a frivolous appeal, rather than presenting the issues that the petitioner is now presenting in this instant motion.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(Docket Entry No. 2, pp. 8-15).</w:t>
      </w:r>
    </w:p>
    <w:p>
      <w:pPr>
        <w:keepNext w:val="0"/>
        <w:spacing w:before="24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The United States filed its Response and Motion to Dismiss Petitioner's Motion for Relief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based on untimeliness and, in the alternative, to dismiss based on lack of merit. (Docket Entry No. 121, 11-cr-655). Avila filed a response. (Docket Entry No. 122, 11-cr-655). Based on a careful review of the record, the motion and response, and the applicable law, the court grants the motion, dismisses Avila's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in 11-cr-655, and, by separate order, enters final judgment dismissing 15-cv-606, with prejudice. The reasons are explained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Trial Evidence</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The evidence presented at Avila's June 2012 jury trial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described in the presentence report is the basis for the following factual summary. On August 17, 2011, Houston Police Department received a 911call from an individual later identified as Arnaldo Misael Medina Moradel. The caller stated that he and five other illegal aliens were held hostage at a residence in Houston (Docket Entry No. 83 ("PSR") ¶¶ 6, 10). The call was traced to a specific address, where police found a garage apartment with foil covering the windows. Officers knocked and saw someone pull the aluminum foil aside, but no one answered. The officers obtained a key to the garage apartment from a woman in the main residence, later identified as Imelda Palacios. In the apartment, officers found six illegal aliens, including Cesar Avila. The illegal aliens identified Avila as the person who was holding them captive. Officers also arrested Carlos Martinez-Aguilar, who was in the main residence.</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The six illegal aliens—Arnaldo Medina, Domingo Francisco Mejia-Vicente (a.k.a. Samuel Lopez-Lopez and his wife, Juana Anacleta Gomez-Pascual, Alejandro Hernandez, Norma Saepa Dominguez, and Maria Concepcion Claros—provided law enforcement with consistent information. Each had made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arrangements to be smuggled into the United States from Mexico, where they had traveled from other Central American countries. The smugglers took $5,000 from each up front, but once in the United States, the smugglers demanded another $5,000 from the aliens' families. They were held hostage for over a month. The women reported that Avila had sexually assaulted them. The aliens told officers that they were able to telephone 911 by getting Avila drunk and taking his cell phone when he fell asleep.</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After the indictment issued and Avila pleaded not guilty, the court ordered Samuel Lopez-Lopez and Juana Anacleta Gomez-Pascual detained and prevented their deportation until September 30, 2011, to let counsel decide whether to depose them. In October 2011, an attorney appointed to represent Lopez-Lopez and Gomez-Pascual moved to have them released because neither the government nor the defense wanted to depose them. The motion was granted releasing these witnesses from detention, and they did not testify in the June 2012 trial. Arnaldo Medina testified at trial. He described how he was smuggled into the country and held hostage by Avila and a man identified as "Texas." Medina testified that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Avila was armed with a 9-mm handgun and told the hostages that he would shoot and kill them if "they attempted to escape or do anything else."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49.) A second material witness, Alejandro Hernadez-Hernandez; Medina's mother, Guadalupe Morade Medina; and Medina's sister, Gabriel Portillo, also took the stand. They corroborated Medina's testimony. (D.E. 55, 100.) Law-enforcement officers and agents who arrested Avila also testified.</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The jury found Avila guilty on all counts of the indictment. At sentencing, Guideline enhancements for demanding ransom, holding hostages for an extended period, and sexually assaulting victims, applied.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U.S.S.G. </w:t>
      </w:r>
      <w:hyperlink r:id="rId13" w:history="1">
        <w:r>
          <w:rPr>
            <w:rFonts w:ascii="arial" w:eastAsia="arial" w:hAnsi="arial" w:cs="arial"/>
            <w:b w:val="0"/>
            <w:i/>
            <w:strike w:val="0"/>
            <w:noProof w:val="0"/>
            <w:color w:val="0077CC"/>
            <w:position w:val="0"/>
            <w:sz w:val="20"/>
            <w:u w:val="single"/>
            <w:vertAlign w:val="baseline"/>
          </w:rPr>
          <w:t xml:space="preserve">§2A4.1(b)(1), U.S.S.G. </w:t>
        </w:r>
      </w:hyperlink>
      <w:hyperlink r:id="rId13" w:history="1">
        <w:r>
          <w:rPr>
            <w:rFonts w:ascii="arial" w:eastAsia="arial" w:hAnsi="arial" w:cs="arial"/>
            <w:b w:val="0"/>
            <w:i/>
            <w:strike w:val="0"/>
            <w:noProof w:val="0"/>
            <w:color w:val="0077CC"/>
            <w:position w:val="0"/>
            <w:sz w:val="20"/>
            <w:u w:val="single"/>
            <w:vertAlign w:val="baseline"/>
          </w:rPr>
          <w:t>§2A4.1(b)(4)(A)</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U.S.S.G. §2A4.1(b)(5)</w:t>
        </w:r>
      </w:hyperlink>
      <w:r>
        <w:rPr>
          <w:rFonts w:ascii="arial" w:eastAsia="arial" w:hAnsi="arial" w:cs="arial"/>
          <w:b w:val="0"/>
          <w:i w:val="0"/>
          <w:strike w:val="0"/>
          <w:noProof w:val="0"/>
          <w:color w:val="000000"/>
          <w:position w:val="0"/>
          <w:sz w:val="20"/>
          <w:u w:val="none"/>
          <w:vertAlign w:val="baseline"/>
        </w:rPr>
        <w:t xml:space="preserve">. Avila objected to each enhancement. At the sentencing hearing, the court overruled the objections; found a Guideline range of life in prison; and after hearing allocution, imposed a 420-month sentence. The judgment was entered on November 20, 2012. The Fifth Circuit affirmed on November 20, 2013, giving Avila 90 days, until February 18, 2014, to file a petition for </w:t>
      </w:r>
      <w:r>
        <w:rPr>
          <w:rFonts w:ascii="arial" w:eastAsia="arial" w:hAnsi="arial" w:cs="arial"/>
          <w:b w:val="0"/>
          <w:i/>
          <w:strike w:val="0"/>
          <w:noProof w:val="0"/>
          <w:color w:val="000000"/>
          <w:position w:val="0"/>
          <w:sz w:val="20"/>
          <w:u w:val="none"/>
          <w:vertAlign w:val="baseline"/>
        </w:rPr>
        <w:t>certiorari</w:t>
      </w:r>
      <w:r>
        <w:rPr>
          <w:rFonts w:ascii="arial" w:eastAsia="arial" w:hAnsi="arial" w:cs="arial"/>
          <w:b w:val="0"/>
          <w:i w:val="0"/>
          <w:strike w:val="0"/>
          <w:noProof w:val="0"/>
          <w:color w:val="000000"/>
          <w:position w:val="0"/>
          <w:sz w:val="20"/>
          <w:u w:val="none"/>
          <w:vertAlign w:val="baseline"/>
        </w:rPr>
        <w:t>. He did not do so.</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This motion was filed in March 2015. The government moves to dismiss it because it was filed too late and, alternatively, because it lacks merit.</w:t>
      </w:r>
      <w:r>
        <w:rPr>
          <w:rFonts w:ascii="arial" w:eastAsia="arial" w:hAnsi="arial" w:cs="arial"/>
          <w:b/>
          <w:i w:val="0"/>
          <w:strike w:val="0"/>
          <w:noProof w:val="0"/>
          <w:color w:val="000000"/>
          <w:position w:val="0"/>
          <w:sz w:val="20"/>
          <w:u w:val="none"/>
          <w:vertAlign w:val="baseline"/>
        </w:rPr>
        <w:t> [*6]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The Legal Standard for Review under </w:t>
      </w:r>
      <w:hyperlink r:id="rId10" w:history="1">
        <w:r>
          <w:rPr>
            <w:rFonts w:ascii="arial" w:eastAsia="arial" w:hAnsi="arial" w:cs="arial"/>
            <w:b/>
            <w:i/>
            <w:strike w:val="0"/>
            <w:noProof w:val="0"/>
            <w:color w:val="0077CC"/>
            <w:position w:val="0"/>
            <w:sz w:val="20"/>
            <w:u w:val="single"/>
            <w:vertAlign w:val="baseline"/>
          </w:rPr>
          <w:t>§ 2255</w:t>
        </w:r>
      </w:hyperlink>
    </w:p>
    <w:p>
      <w:pPr>
        <w:keepNext w:val="0"/>
        <w:spacing w:before="240" w:after="0" w:line="260" w:lineRule="atLeast"/>
        <w:ind w:left="0" w:right="0" w:firstLine="0"/>
        <w:jc w:val="both"/>
      </w:pPr>
      <w:bookmarkStart w:id="19" w:name="Bookmark_para_12"/>
      <w:bookmarkEnd w:id="19"/>
      <w:bookmarkStart w:id="20" w:name="Bookmark_I5MB142J2HM6H40020000400"/>
      <w:bookmarkEnd w:id="20"/>
      <w:bookmarkStart w:id="21" w:name="Bookmark_I5MB142J2HM6H40040000400"/>
      <w:bookmarkEnd w:id="21"/>
      <w:r>
        <w:rPr>
          <w:rFonts w:ascii="arial" w:eastAsia="arial" w:hAnsi="arial" w:cs="arial"/>
          <w:b w:val="0"/>
          <w:i w:val="0"/>
          <w:strike w:val="0"/>
          <w:noProof w:val="0"/>
          <w:color w:val="000000"/>
          <w:position w:val="0"/>
          <w:sz w:val="20"/>
          <w:u w:val="none"/>
          <w:vertAlign w:val="baseline"/>
        </w:rPr>
        <w:t xml:space="preserve">To obtain collateral relief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 defendant "must clear a significantly higher hurdle" than the standard that would exist on direct appeal. </w:t>
      </w:r>
      <w:bookmarkStart w:id="22" w:name="Bookmark_I5MB142J2SF8S10010000400"/>
      <w:bookmarkEnd w:id="22"/>
      <w:bookmarkStart w:id="23" w:name="Bookmark_I5MB142J2HM6H40010000400"/>
      <w:bookmarkEnd w:id="23"/>
      <w:hyperlink r:id="rId14" w:history="1">
        <w:r>
          <w:rPr>
            <w:rFonts w:ascii="arial" w:eastAsia="arial" w:hAnsi="arial" w:cs="arial"/>
            <w:b w:val="0"/>
            <w:i/>
            <w:strike w:val="0"/>
            <w:noProof w:val="0"/>
            <w:color w:val="0077CC"/>
            <w:position w:val="0"/>
            <w:sz w:val="20"/>
            <w:u w:val="single"/>
            <w:vertAlign w:val="baseline"/>
          </w:rPr>
          <w:t>United States v. Frady</w:t>
        </w:r>
      </w:hyperlink>
      <w:hyperlink r:id="rId14" w:history="1">
        <w:r>
          <w:rPr>
            <w:rFonts w:ascii="arial" w:eastAsia="arial" w:hAnsi="arial" w:cs="arial"/>
            <w:b w:val="0"/>
            <w:i/>
            <w:strike w:val="0"/>
            <w:noProof w:val="0"/>
            <w:color w:val="0077CC"/>
            <w:position w:val="0"/>
            <w:sz w:val="20"/>
            <w:u w:val="single"/>
            <w:vertAlign w:val="baseline"/>
          </w:rPr>
          <w:t>, 456 U.S. 152, 166, 102 S. Ct. 1584, 71 L. Ed. 2d 816 (1982)</w:t>
        </w:r>
      </w:hyperlink>
      <w:r>
        <w:rPr>
          <w:rFonts w:ascii="arial" w:eastAsia="arial" w:hAnsi="arial" w:cs="arial"/>
          <w:b w:val="0"/>
          <w:i w:val="0"/>
          <w:strike w:val="0"/>
          <w:noProof w:val="0"/>
          <w:color w:val="000000"/>
          <w:position w:val="0"/>
          <w:sz w:val="20"/>
          <w:u w:val="none"/>
          <w:vertAlign w:val="baseline"/>
        </w:rPr>
        <w:t xml:space="preserve">. </w:t>
      </w:r>
      <w:bookmarkStart w:id="24" w:name="Bookmark_I5MB142J2SF8S10030000400"/>
      <w:bookmarkEnd w:id="24"/>
      <w:r>
        <w:rPr>
          <w:rFonts w:ascii="arial" w:eastAsia="arial" w:hAnsi="arial" w:cs="arial"/>
          <w:b w:val="0"/>
          <w:i w:val="0"/>
          <w:strike w:val="0"/>
          <w:noProof w:val="0"/>
          <w:color w:val="000000"/>
          <w:position w:val="0"/>
          <w:sz w:val="20"/>
          <w:u w:val="none"/>
          <w:vertAlign w:val="baseline"/>
        </w:rPr>
        <w:t xml:space="preserve">"Following a conviction and exhaustion or waiver of the right to direct appeal, [courts] presume a defendant stands fairly and finally convicted." </w:t>
      </w:r>
      <w:bookmarkStart w:id="25" w:name="Bookmark_I5MB142J2HM6H40030000400"/>
      <w:bookmarkEnd w:id="25"/>
      <w:hyperlink r:id="rId15" w:history="1">
        <w:r>
          <w:rPr>
            <w:rFonts w:ascii="arial" w:eastAsia="arial" w:hAnsi="arial" w:cs="arial"/>
            <w:b w:val="0"/>
            <w:i/>
            <w:strike w:val="0"/>
            <w:noProof w:val="0"/>
            <w:color w:val="0077CC"/>
            <w:position w:val="0"/>
            <w:sz w:val="20"/>
            <w:u w:val="single"/>
            <w:vertAlign w:val="baseline"/>
          </w:rPr>
          <w:t>United States v. Cervantes</w:t>
        </w:r>
      </w:hyperlink>
      <w:hyperlink r:id="rId15" w:history="1">
        <w:r>
          <w:rPr>
            <w:rFonts w:ascii="arial" w:eastAsia="arial" w:hAnsi="arial" w:cs="arial"/>
            <w:b w:val="0"/>
            <w:i/>
            <w:strike w:val="0"/>
            <w:noProof w:val="0"/>
            <w:color w:val="0077CC"/>
            <w:position w:val="0"/>
            <w:sz w:val="20"/>
            <w:u w:val="single"/>
            <w:vertAlign w:val="baseline"/>
          </w:rPr>
          <w:t>, 132 F.3d 1106, 1109 (5th Cir.1998)</w:t>
        </w:r>
      </w:hyperlink>
      <w:r>
        <w:rPr>
          <w:rFonts w:ascii="arial" w:eastAsia="arial" w:hAnsi="arial" w:cs="arial"/>
          <w:b w:val="0"/>
          <w:i w:val="0"/>
          <w:strike w:val="0"/>
          <w:noProof w:val="0"/>
          <w:color w:val="000000"/>
          <w:position w:val="0"/>
          <w:sz w:val="20"/>
          <w:u w:val="none"/>
          <w:vertAlign w:val="baseline"/>
        </w:rPr>
        <w:t xml:space="preserve">. </w:t>
      </w:r>
      <w:bookmarkStart w:id="26" w:name="Bookmark_I5MB142J2SF8S10030000400_2"/>
      <w:bookmarkEnd w:id="26"/>
      <w:bookmarkStart w:id="27" w:name="Bookmark_I5MB142J2SF8S10010000400_2"/>
      <w:bookmarkEnd w:id="27"/>
      <w:r>
        <w:rPr>
          <w:rFonts w:ascii="arial" w:eastAsia="arial" w:hAnsi="arial" w:cs="arial"/>
          <w:b w:val="0"/>
          <w:i w:val="0"/>
          <w:strike w:val="0"/>
          <w:noProof w:val="0"/>
          <w:color w:val="000000"/>
          <w:position w:val="0"/>
          <w:sz w:val="20"/>
          <w:u w:val="none"/>
          <w:vertAlign w:val="baseline"/>
        </w:rPr>
        <w:t xml:space="preserve">"As a result, review of convictions under </w:t>
      </w:r>
      <w:hyperlink r:id="rId10" w:history="1">
        <w:r>
          <w:rPr>
            <w:rFonts w:ascii="arial" w:eastAsia="arial" w:hAnsi="arial" w:cs="arial"/>
            <w:b w:val="0"/>
            <w:i/>
            <w:strike w:val="0"/>
            <w:noProof w:val="0"/>
            <w:color w:val="0077CC"/>
            <w:position w:val="0"/>
            <w:sz w:val="20"/>
            <w:u w:val="single"/>
            <w:vertAlign w:val="baseline"/>
          </w:rPr>
          <w:t>[§ ] 2255</w:t>
        </w:r>
      </w:hyperlink>
      <w:r>
        <w:rPr>
          <w:rFonts w:ascii="arial" w:eastAsia="arial" w:hAnsi="arial" w:cs="arial"/>
          <w:b w:val="0"/>
          <w:i w:val="0"/>
          <w:strike w:val="0"/>
          <w:noProof w:val="0"/>
          <w:color w:val="000000"/>
          <w:position w:val="0"/>
          <w:sz w:val="20"/>
          <w:u w:val="none"/>
          <w:vertAlign w:val="baseline"/>
        </w:rPr>
        <w:t xml:space="preserve"> ordinarily is limited to questions of constitutional or jurisdictional magnitude, which may not be raised for the first time on collateral review without a showing of cause and prejudice." </w:t>
      </w:r>
      <w:bookmarkStart w:id="28" w:name="Bookmark_I5MB142J2HM6H40050000400"/>
      <w:bookmarkEnd w:id="28"/>
      <w:hyperlink r:id="rId14" w:history="1">
        <w:r>
          <w:rPr>
            <w:rFonts w:ascii="arial" w:eastAsia="arial" w:hAnsi="arial" w:cs="arial"/>
            <w:b w:val="0"/>
            <w:i/>
            <w:strike w:val="0"/>
            <w:noProof w:val="0"/>
            <w:color w:val="0077CC"/>
            <w:position w:val="0"/>
            <w:sz w:val="20"/>
            <w:u w:val="single"/>
            <w:vertAlign w:val="baseline"/>
          </w:rPr>
          <w:t>Frady</w:t>
        </w:r>
      </w:hyperlink>
      <w:hyperlink r:id="rId14" w:history="1">
        <w:r>
          <w:rPr>
            <w:rFonts w:ascii="arial" w:eastAsia="arial" w:hAnsi="arial" w:cs="arial"/>
            <w:b w:val="0"/>
            <w:i/>
            <w:strike w:val="0"/>
            <w:noProof w:val="0"/>
            <w:color w:val="0077CC"/>
            <w:position w:val="0"/>
            <w:sz w:val="20"/>
            <w:u w:val="single"/>
            <w:vertAlign w:val="baseline"/>
          </w:rPr>
          <w:t>, 456 U.S. at 166</w:t>
        </w:r>
      </w:hyperlink>
      <w:r>
        <w:rPr>
          <w:rFonts w:ascii="arial" w:eastAsia="arial" w:hAnsi="arial" w:cs="arial"/>
          <w:b w:val="0"/>
          <w:i w:val="0"/>
          <w:strike w:val="0"/>
          <w:noProof w:val="0"/>
          <w:color w:val="000000"/>
          <w:position w:val="0"/>
          <w:sz w:val="20"/>
          <w:u w:val="none"/>
          <w:vertAlign w:val="baseline"/>
        </w:rPr>
        <w:t xml:space="preserve">. This procedural bar does not apply to claims that could not have been raised on direct appeal, such as those for ineffective assistance of counsel, "since no opportunity existed [before the district court] to develop the record on the merits of the allegations." </w:t>
      </w:r>
      <w:bookmarkStart w:id="29" w:name="Bookmark_I5MB142J2SF8S10020000400"/>
      <w:bookmarkEnd w:id="29"/>
      <w:hyperlink r:id="rId16" w:history="1">
        <w:r>
          <w:rPr>
            <w:rFonts w:ascii="arial" w:eastAsia="arial" w:hAnsi="arial" w:cs="arial"/>
            <w:b w:val="0"/>
            <w:i/>
            <w:strike w:val="0"/>
            <w:noProof w:val="0"/>
            <w:color w:val="0077CC"/>
            <w:position w:val="0"/>
            <w:sz w:val="20"/>
            <w:u w:val="single"/>
            <w:vertAlign w:val="baseline"/>
          </w:rPr>
          <w:t>United States v. Higdon</w:t>
        </w:r>
      </w:hyperlink>
      <w:hyperlink r:id="rId16" w:history="1">
        <w:r>
          <w:rPr>
            <w:rFonts w:ascii="arial" w:eastAsia="arial" w:hAnsi="arial" w:cs="arial"/>
            <w:b w:val="0"/>
            <w:i/>
            <w:strike w:val="0"/>
            <w:noProof w:val="0"/>
            <w:color w:val="0077CC"/>
            <w:position w:val="0"/>
            <w:sz w:val="20"/>
            <w:u w:val="single"/>
            <w:vertAlign w:val="baseline"/>
          </w:rPr>
          <w:t>, 832 F.2d 312, 313-14 (5th Cir.1987)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0" w:name="Bookmark_I5MB142J2SF8S10040000400"/>
      <w:bookmarkEnd w:id="30"/>
      <w:hyperlink r:id="rId17" w:history="1">
        <w:r>
          <w:rPr>
            <w:rFonts w:ascii="arial" w:eastAsia="arial" w:hAnsi="arial" w:cs="arial"/>
            <w:b w:val="0"/>
            <w:i/>
            <w:strike w:val="0"/>
            <w:noProof w:val="0"/>
            <w:color w:val="0077CC"/>
            <w:position w:val="0"/>
            <w:sz w:val="20"/>
            <w:u w:val="single"/>
            <w:vertAlign w:val="baseline"/>
          </w:rPr>
          <w:t>Massaro v. United States</w:t>
        </w:r>
      </w:hyperlink>
      <w:hyperlink r:id="rId17" w:history="1">
        <w:r>
          <w:rPr>
            <w:rFonts w:ascii="arial" w:eastAsia="arial" w:hAnsi="arial" w:cs="arial"/>
            <w:b w:val="0"/>
            <w:i/>
            <w:strike w:val="0"/>
            <w:noProof w:val="0"/>
            <w:color w:val="0077CC"/>
            <w:position w:val="0"/>
            <w:sz w:val="20"/>
            <w:u w:val="single"/>
            <w:vertAlign w:val="baseline"/>
          </w:rPr>
          <w:t>, 538 U.S. 500, 123 S. Ct. 1690, 155 L. Ed. 2d 714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13"/>
      <w:bookmarkEnd w:id="31"/>
      <w:bookmarkStart w:id="32" w:name="Bookmark_I5MB142J2N1R5X0020000400"/>
      <w:bookmarkEnd w:id="32"/>
      <w:bookmarkStart w:id="33" w:name="Bookmark_I5MB142J2HM6H50050000400"/>
      <w:bookmarkEnd w:id="33"/>
      <w:r>
        <w:rPr>
          <w:rFonts w:ascii="arial" w:eastAsia="arial" w:hAnsi="arial" w:cs="arial"/>
          <w:b w:val="0"/>
          <w:i w:val="0"/>
          <w:strike w:val="0"/>
          <w:noProof w:val="0"/>
          <w:color w:val="000000"/>
          <w:position w:val="0"/>
          <w:sz w:val="20"/>
          <w:u w:val="none"/>
          <w:vertAlign w:val="baseline"/>
        </w:rPr>
        <w:t xml:space="preserve">Because Avila is representing himself, his pleadings are given a broad interpretation. "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however inartfully pleaded, must be held to less stringent standards than formal pleadings drafted by lawyers." </w:t>
      </w:r>
      <w:bookmarkStart w:id="34" w:name="Bookmark_I5MB142J2N1R5X0010000400"/>
      <w:bookmarkEnd w:id="34"/>
      <w:hyperlink r:id="rId18" w:history="1">
        <w:r>
          <w:rPr>
            <w:rFonts w:ascii="arial" w:eastAsia="arial" w:hAnsi="arial" w:cs="arial"/>
            <w:b w:val="0"/>
            <w:i/>
            <w:strike w:val="0"/>
            <w:noProof w:val="0"/>
            <w:color w:val="0077CC"/>
            <w:position w:val="0"/>
            <w:sz w:val="20"/>
            <w:u w:val="single"/>
            <w:vertAlign w:val="baseline"/>
          </w:rPr>
          <w:t>Erickson v. Pardus</w:t>
        </w:r>
      </w:hyperlink>
      <w:hyperlink r:id="rId18" w:history="1">
        <w:r>
          <w:rPr>
            <w:rFonts w:ascii="arial" w:eastAsia="arial" w:hAnsi="arial" w:cs="arial"/>
            <w:b w:val="0"/>
            <w:i/>
            <w:strike w:val="0"/>
            <w:noProof w:val="0"/>
            <w:color w:val="0077CC"/>
            <w:position w:val="0"/>
            <w:sz w:val="20"/>
            <w:u w:val="single"/>
            <w:vertAlign w:val="baseline"/>
          </w:rPr>
          <w:t>, 551 U.S. 89, 127 S. Ct. 2197, 167 L. Ed. 2d 1081 (2007)</w:t>
        </w:r>
      </w:hyperlink>
      <w:r>
        <w:rPr>
          <w:rFonts w:ascii="arial" w:eastAsia="arial" w:hAnsi="arial" w:cs="arial"/>
          <w:b w:val="0"/>
          <w:i w:val="0"/>
          <w:strike w:val="0"/>
          <w:noProof w:val="0"/>
          <w:color w:val="000000"/>
          <w:position w:val="0"/>
          <w:sz w:val="20"/>
          <w:u w:val="none"/>
          <w:vertAlign w:val="baseline"/>
        </w:rPr>
        <w:t xml:space="preserve"> (quoting </w:t>
      </w:r>
      <w:bookmarkStart w:id="35" w:name="Bookmark_I5MB142J2N1R5X0030000400"/>
      <w:bookmarkEnd w:id="35"/>
      <w:hyperlink r:id="rId19" w:history="1">
        <w:r>
          <w:rPr>
            <w:rFonts w:ascii="arial" w:eastAsia="arial" w:hAnsi="arial" w:cs="arial"/>
            <w:b w:val="0"/>
            <w:i/>
            <w:strike w:val="0"/>
            <w:noProof w:val="0"/>
            <w:color w:val="0077CC"/>
            <w:position w:val="0"/>
            <w:sz w:val="20"/>
            <w:u w:val="single"/>
            <w:vertAlign w:val="baseline"/>
          </w:rPr>
          <w:t>Estelle v. Gamble</w:t>
        </w:r>
      </w:hyperlink>
      <w:hyperlink r:id="rId19" w:history="1">
        <w:r>
          <w:rPr>
            <w:rFonts w:ascii="arial" w:eastAsia="arial" w:hAnsi="arial" w:cs="arial"/>
            <w:b w:val="0"/>
            <w:i/>
            <w:strike w:val="0"/>
            <w:noProof w:val="0"/>
            <w:color w:val="0077CC"/>
            <w:position w:val="0"/>
            <w:sz w:val="20"/>
            <w:u w:val="single"/>
            <w:vertAlign w:val="baseline"/>
          </w:rPr>
          <w:t>, 429 U.S. 97, 106, 97 S. Ct. 285, 50 L. Ed. 2d 251 (1976))</w:t>
        </w:r>
      </w:hyperlink>
      <w:r>
        <w:rPr>
          <w:rFonts w:ascii="arial" w:eastAsia="arial" w:hAnsi="arial" w:cs="arial"/>
          <w:b w:val="0"/>
          <w:i w:val="0"/>
          <w:strike w:val="0"/>
          <w:noProof w:val="0"/>
          <w:color w:val="000000"/>
          <w:position w:val="0"/>
          <w:sz w:val="20"/>
          <w:u w:val="none"/>
          <w:vertAlign w:val="baseline"/>
        </w:rPr>
        <w:t xml:space="preserve">; </w:t>
      </w:r>
      <w:bookmarkStart w:id="36" w:name="Bookmark_I5MB142J2N1R5X0050000400"/>
      <w:bookmarkEnd w:id="36"/>
      <w:hyperlink r:id="rId20" w:history="1">
        <w:r>
          <w:rPr>
            <w:rFonts w:ascii="arial" w:eastAsia="arial" w:hAnsi="arial" w:cs="arial"/>
            <w:b w:val="0"/>
            <w:i/>
            <w:strike w:val="0"/>
            <w:noProof w:val="0"/>
            <w:color w:val="0077CC"/>
            <w:position w:val="0"/>
            <w:sz w:val="20"/>
            <w:u w:val="single"/>
            <w:vertAlign w:val="baseline"/>
          </w:rPr>
          <w:t>Haines v. Kerner</w:t>
        </w:r>
      </w:hyperlink>
      <w:hyperlink r:id="rId20" w:history="1">
        <w:r>
          <w:rPr>
            <w:rFonts w:ascii="arial" w:eastAsia="arial" w:hAnsi="arial" w:cs="arial"/>
            <w:b w:val="0"/>
            <w:i/>
            <w:strike w:val="0"/>
            <w:noProof w:val="0"/>
            <w:color w:val="0077CC"/>
            <w:position w:val="0"/>
            <w:sz w:val="20"/>
            <w:u w:val="single"/>
            <w:vertAlign w:val="baseline"/>
          </w:rPr>
          <w:t>, 404 U.S. 519, 521, 92 S. Ct. 594, 30 L. Ed. 2d 652 (1972)</w:t>
        </w:r>
      </w:hyperlink>
      <w:r>
        <w:rPr>
          <w:rFonts w:ascii="arial" w:eastAsia="arial" w:hAnsi="arial" w:cs="arial"/>
          <w:b w:val="0"/>
          <w:i w:val="0"/>
          <w:strike w:val="0"/>
          <w:noProof w:val="0"/>
          <w:color w:val="000000"/>
          <w:position w:val="0"/>
          <w:sz w:val="20"/>
          <w:u w:val="none"/>
          <w:vertAlign w:val="baseline"/>
        </w:rPr>
        <w:t xml:space="preserve">; </w:t>
      </w:r>
      <w:bookmarkStart w:id="37" w:name="Bookmark_I5MB142J2HM6H50020000400"/>
      <w:bookmarkEnd w:id="37"/>
      <w:hyperlink r:id="rId21" w:history="1">
        <w:r>
          <w:rPr>
            <w:rFonts w:ascii="arial" w:eastAsia="arial" w:hAnsi="arial" w:cs="arial"/>
            <w:b w:val="0"/>
            <w:i/>
            <w:strike w:val="0"/>
            <w:noProof w:val="0"/>
            <w:color w:val="0077CC"/>
            <w:position w:val="0"/>
            <w:sz w:val="20"/>
            <w:u w:val="single"/>
            <w:vertAlign w:val="baseline"/>
          </w:rPr>
          <w:t>Bledsue v. Johnson</w:t>
        </w:r>
      </w:hyperlink>
      <w:hyperlink r:id="rId21" w:history="1">
        <w:r>
          <w:rPr>
            <w:rFonts w:ascii="arial" w:eastAsia="arial" w:hAnsi="arial" w:cs="arial"/>
            <w:b w:val="0"/>
            <w:i/>
            <w:strike w:val="0"/>
            <w:noProof w:val="0"/>
            <w:color w:val="0077CC"/>
            <w:position w:val="0"/>
            <w:sz w:val="20"/>
            <w:u w:val="single"/>
            <w:vertAlign w:val="baseline"/>
          </w:rPr>
          <w:t>, 188 F.3d 250, 255 (5th Cir.1999)</w:t>
        </w:r>
      </w:hyperlink>
      <w:r>
        <w:rPr>
          <w:rFonts w:ascii="arial" w:eastAsia="arial" w:hAnsi="arial" w:cs="arial"/>
          <w:b w:val="0"/>
          <w:i w:val="0"/>
          <w:strike w:val="0"/>
          <w:noProof w:val="0"/>
          <w:color w:val="000000"/>
          <w:position w:val="0"/>
          <w:sz w:val="20"/>
          <w:u w:val="none"/>
          <w:vertAlign w:val="baseline"/>
        </w:rPr>
        <w:t xml:space="preserve">. </w:t>
      </w:r>
      <w:bookmarkStart w:id="38" w:name="Bookmark_I5MB142J2N1R5Y0040000400"/>
      <w:bookmarkEnd w:id="38"/>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are entitled to a liberal construction that includes all reasonable inferences which can be drawn from</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them. </w:t>
      </w:r>
      <w:r>
        <w:rPr>
          <w:rFonts w:ascii="arial" w:eastAsia="arial" w:hAnsi="arial" w:cs="arial"/>
          <w:b w:val="0"/>
          <w:i/>
          <w:strike w:val="0"/>
          <w:noProof w:val="0"/>
          <w:color w:val="000000"/>
          <w:position w:val="0"/>
          <w:sz w:val="20"/>
          <w:u w:val="none"/>
          <w:vertAlign w:val="baseline"/>
        </w:rPr>
        <w:t xml:space="preserve">See </w:t>
      </w:r>
      <w:bookmarkStart w:id="39" w:name="Bookmark_I5MB142J2HM6H50040000400"/>
      <w:bookmarkEnd w:id="39"/>
      <w:hyperlink r:id="rId20" w:history="1">
        <w:r>
          <w:rPr>
            <w:rFonts w:ascii="arial" w:eastAsia="arial" w:hAnsi="arial" w:cs="arial"/>
            <w:b w:val="0"/>
            <w:i/>
            <w:strike w:val="0"/>
            <w:noProof w:val="0"/>
            <w:color w:val="0077CC"/>
            <w:position w:val="0"/>
            <w:sz w:val="20"/>
            <w:u w:val="single"/>
            <w:vertAlign w:val="baseline"/>
          </w:rPr>
          <w:t>Haines</w:t>
        </w:r>
      </w:hyperlink>
      <w:hyperlink r:id="rId20" w:history="1">
        <w:r>
          <w:rPr>
            <w:rFonts w:ascii="arial" w:eastAsia="arial" w:hAnsi="arial" w:cs="arial"/>
            <w:b w:val="0"/>
            <w:i/>
            <w:strike w:val="0"/>
            <w:noProof w:val="0"/>
            <w:color w:val="0077CC"/>
            <w:position w:val="0"/>
            <w:sz w:val="20"/>
            <w:u w:val="single"/>
            <w:vertAlign w:val="baseline"/>
          </w:rPr>
          <w:t>, 404 U.S. at 521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0" w:name="Bookmark_I5MB142J2N1R5Y0010000400"/>
      <w:bookmarkEnd w:id="40"/>
      <w:hyperlink r:id="rId22" w:history="1">
        <w:r>
          <w:rPr>
            <w:rFonts w:ascii="arial" w:eastAsia="arial" w:hAnsi="arial" w:cs="arial"/>
            <w:b w:val="0"/>
            <w:i/>
            <w:strike w:val="0"/>
            <w:noProof w:val="0"/>
            <w:color w:val="0077CC"/>
            <w:position w:val="0"/>
            <w:sz w:val="20"/>
            <w:u w:val="single"/>
            <w:vertAlign w:val="baseline"/>
          </w:rPr>
          <w:t>United States v. Pena</w:t>
        </w:r>
      </w:hyperlink>
      <w:hyperlink r:id="rId22" w:history="1">
        <w:r>
          <w:rPr>
            <w:rFonts w:ascii="arial" w:eastAsia="arial" w:hAnsi="arial" w:cs="arial"/>
            <w:b w:val="0"/>
            <w:i/>
            <w:strike w:val="0"/>
            <w:noProof w:val="0"/>
            <w:color w:val="0077CC"/>
            <w:position w:val="0"/>
            <w:sz w:val="20"/>
            <w:u w:val="single"/>
            <w:vertAlign w:val="baseline"/>
          </w:rPr>
          <w:t>, 122 F.3d 3, 4 (5th Cir.1997)</w:t>
        </w:r>
      </w:hyperlink>
      <w:r>
        <w:rPr>
          <w:rFonts w:ascii="arial" w:eastAsia="arial" w:hAnsi="arial" w:cs="arial"/>
          <w:b w:val="0"/>
          <w:i w:val="0"/>
          <w:strike w:val="0"/>
          <w:noProof w:val="0"/>
          <w:color w:val="000000"/>
          <w:position w:val="0"/>
          <w:sz w:val="20"/>
          <w:u w:val="none"/>
          <w:vertAlign w:val="baseline"/>
        </w:rPr>
        <w:t xml:space="preserve">. </w:t>
      </w:r>
      <w:bookmarkStart w:id="41" w:name="Bookmark_I5MB142J2D6NVD0010000400"/>
      <w:bookmarkEnd w:id="41"/>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are still required to provide sufficient facts in support of their claims. </w:t>
      </w:r>
      <w:bookmarkStart w:id="42" w:name="Bookmark_I5MB142J2D6NVD0010000400_2"/>
      <w:bookmarkEnd w:id="42"/>
      <w:bookmarkStart w:id="43" w:name="Bookmark_I5MB142J2N1R5Y0040000400_2"/>
      <w:bookmarkEnd w:id="43"/>
      <w:bookmarkStart w:id="44" w:name="Bookmark_I5MB142J2N1R5Y0030000400"/>
      <w:bookmarkEnd w:id="44"/>
      <w:hyperlink r:id="rId23" w:history="1">
        <w:r>
          <w:rPr>
            <w:rFonts w:ascii="arial" w:eastAsia="arial" w:hAnsi="arial" w:cs="arial"/>
            <w:b w:val="0"/>
            <w:i/>
            <w:strike w:val="0"/>
            <w:noProof w:val="0"/>
            <w:color w:val="0077CC"/>
            <w:position w:val="0"/>
            <w:sz w:val="20"/>
            <w:u w:val="single"/>
            <w:vertAlign w:val="baseline"/>
          </w:rPr>
          <w:t>United States v. Pineda</w:t>
        </w:r>
      </w:hyperlink>
      <w:hyperlink r:id="rId23" w:history="1">
        <w:r>
          <w:rPr>
            <w:rFonts w:ascii="arial" w:eastAsia="arial" w:hAnsi="arial" w:cs="arial"/>
            <w:b w:val="0"/>
            <w:i/>
            <w:strike w:val="0"/>
            <w:noProof w:val="0"/>
            <w:color w:val="0077CC"/>
            <w:position w:val="0"/>
            <w:sz w:val="20"/>
            <w:u w:val="single"/>
            <w:vertAlign w:val="baseline"/>
          </w:rPr>
          <w:t>, 988 F.2d 22, 23 (5th Cir.1993)</w:t>
        </w:r>
      </w:hyperlink>
      <w:r>
        <w:rPr>
          <w:rFonts w:ascii="arial" w:eastAsia="arial" w:hAnsi="arial" w:cs="arial"/>
          <w:b w:val="0"/>
          <w:i w:val="0"/>
          <w:strike w:val="0"/>
          <w:noProof w:val="0"/>
          <w:color w:val="000000"/>
          <w:position w:val="0"/>
          <w:sz w:val="20"/>
          <w:u w:val="none"/>
          <w:vertAlign w:val="baseline"/>
        </w:rPr>
        <w:t xml:space="preserve">. "[M]ere conclusory allegations on a critical issue are insufficient to raise a constitutional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45" w:name="Bookmark_I5MB142J2N1R5Y0050000400"/>
      <w:bookmarkEnd w:id="45"/>
      <w:hyperlink r:id="rId24" w:history="1">
        <w:r>
          <w:rPr>
            <w:rFonts w:ascii="arial" w:eastAsia="arial" w:hAnsi="arial" w:cs="arial"/>
            <w:b w:val="0"/>
            <w:i/>
            <w:strike w:val="0"/>
            <w:noProof w:val="0"/>
            <w:color w:val="0077CC"/>
            <w:position w:val="0"/>
            <w:sz w:val="20"/>
            <w:u w:val="single"/>
            <w:vertAlign w:val="baseline"/>
          </w:rPr>
          <w:t>United States v. Woods</w:t>
        </w:r>
      </w:hyperlink>
      <w:hyperlink r:id="rId24" w:history="1">
        <w:r>
          <w:rPr>
            <w:rFonts w:ascii="arial" w:eastAsia="arial" w:hAnsi="arial" w:cs="arial"/>
            <w:b w:val="0"/>
            <w:i/>
            <w:strike w:val="0"/>
            <w:noProof w:val="0"/>
            <w:color w:val="0077CC"/>
            <w:position w:val="0"/>
            <w:sz w:val="20"/>
            <w:u w:val="single"/>
            <w:vertAlign w:val="baseline"/>
          </w:rPr>
          <w:t>, 870 F.2d 285, 288 n. 3 (5th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The </w:t>
      </w:r>
      <w:hyperlink r:id="rId10" w:history="1">
        <w:r>
          <w:rPr>
            <w:rFonts w:ascii="arial" w:eastAsia="arial" w:hAnsi="arial" w:cs="arial"/>
            <w:b/>
            <w:i/>
            <w:strike w:val="0"/>
            <w:noProof w:val="0"/>
            <w:color w:val="0077CC"/>
            <w:position w:val="0"/>
            <w:sz w:val="20"/>
            <w:u w:val="single"/>
            <w:vertAlign w:val="baseline"/>
          </w:rPr>
          <w:t>§ 2255</w:t>
        </w:r>
      </w:hyperlink>
      <w:r>
        <w:rPr>
          <w:rFonts w:ascii="arial" w:eastAsia="arial" w:hAnsi="arial" w:cs="arial"/>
          <w:b/>
          <w:i w:val="0"/>
          <w:strike w:val="0"/>
          <w:noProof w:val="0"/>
          <w:color w:val="000000"/>
          <w:position w:val="0"/>
          <w:sz w:val="20"/>
          <w:u w:val="none"/>
          <w:vertAlign w:val="baseline"/>
        </w:rPr>
        <w:t xml:space="preserve"> Motion Was Filed Too Late</w:t>
      </w:r>
    </w:p>
    <w:p>
      <w:pPr>
        <w:keepNext w:val="0"/>
        <w:spacing w:before="240" w:after="0" w:line="260" w:lineRule="atLeast"/>
        <w:ind w:left="0" w:right="0" w:firstLine="0"/>
        <w:jc w:val="both"/>
      </w:pPr>
      <w:bookmarkStart w:id="46" w:name="Bookmark_para_14"/>
      <w:bookmarkEnd w:id="46"/>
      <w:hyperlink r:id="rId25" w:history="1">
        <w:r>
          <w:rPr>
            <w:rFonts w:ascii="arial" w:eastAsia="arial" w:hAnsi="arial" w:cs="arial"/>
            <w:b w:val="0"/>
            <w:i/>
            <w:strike w:val="0"/>
            <w:color w:val="0077CC"/>
            <w:sz w:val="20"/>
            <w:u w:val="single"/>
            <w:vertAlign w:val="baseline"/>
          </w:rPr>
          <w:t>Section 105</w:t>
        </w:r>
      </w:hyperlink>
      <w:r>
        <w:rPr>
          <w:rFonts w:ascii="arial" w:eastAsia="arial" w:hAnsi="arial" w:cs="arial"/>
          <w:b w:val="0"/>
          <w:i w:val="0"/>
          <w:strike w:val="0"/>
          <w:noProof w:val="0"/>
          <w:color w:val="000000"/>
          <w:position w:val="0"/>
          <w:sz w:val="20"/>
          <w:u w:val="none"/>
          <w:vertAlign w:val="baseline"/>
        </w:rPr>
        <w:t xml:space="preserve"> of the Antiterrorism and Effective Death Penalty Act of 1996 (AEDPA) sets a one-year limitations period for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motions. The one-year period runs from the latest of: (1) the date on which the judgment of conviction becomes final; (2) the date on which the impediment to making a motion created by governmental action in violation of the Constitution or laws of the United States is removed, if the movant was prevented from making a motion by such governmental action; (3) the date on which the right asserted was initially recognized by the Supreme Court, if that right has been newly recognized by the Supreme Court and made retroactively applicable to cases on collateral review; or (4) the date on which the facts supporting the claim or claims presented could have been discovered through reasonable diligence.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15"/>
      <w:bookmarkEnd w:id="47"/>
      <w:r>
        <w:rPr>
          <w:rFonts w:ascii="arial" w:eastAsia="arial" w:hAnsi="arial" w:cs="arial"/>
          <w:b w:val="0"/>
          <w:i w:val="0"/>
          <w:strike w:val="0"/>
          <w:noProof w:val="0"/>
          <w:color w:val="000000"/>
          <w:position w:val="0"/>
          <w:sz w:val="20"/>
          <w:u w:val="none"/>
          <w:vertAlign w:val="baseline"/>
        </w:rPr>
        <w:t xml:space="preserve">Avila's conviction became final when the 90-day period for filing a petition for </w:t>
      </w:r>
      <w:r>
        <w:rPr>
          <w:rFonts w:ascii="arial" w:eastAsia="arial" w:hAnsi="arial" w:cs="arial"/>
          <w:b w:val="0"/>
          <w:i/>
          <w:strike w:val="0"/>
          <w:noProof w:val="0"/>
          <w:color w:val="000000"/>
          <w:position w:val="0"/>
          <w:sz w:val="20"/>
          <w:u w:val="none"/>
          <w:vertAlign w:val="baseline"/>
        </w:rPr>
        <w:t>certiorari</w:t>
      </w:r>
      <w:r>
        <w:rPr>
          <w:rFonts w:ascii="arial" w:eastAsia="arial" w:hAnsi="arial" w:cs="arial"/>
          <w:b w:val="0"/>
          <w:i w:val="0"/>
          <w:strike w:val="0"/>
          <w:noProof w:val="0"/>
          <w:color w:val="000000"/>
          <w:position w:val="0"/>
          <w:sz w:val="20"/>
          <w:u w:val="none"/>
          <w:vertAlign w:val="baseline"/>
        </w:rPr>
        <w:t xml:space="preserve"> with the Supreme Court expired.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was on February 18, 2014. He had one year, or until February 18, 2015, to file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Avila placed the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in prison mailing system on February 23, 2015, five days after the one-year statute of limitations expired.</w:t>
      </w:r>
    </w:p>
    <w:p>
      <w:pPr>
        <w:keepNext w:val="0"/>
        <w:spacing w:before="240" w:after="0" w:line="260" w:lineRule="atLeast"/>
        <w:ind w:left="0" w:right="0" w:firstLine="0"/>
        <w:jc w:val="both"/>
      </w:pPr>
      <w:bookmarkStart w:id="48" w:name="Bookmark_para_16"/>
      <w:bookmarkEnd w:id="48"/>
      <w:bookmarkStart w:id="49" w:name="Bookmark_I069W27RCF9000RDP0700001"/>
      <w:bookmarkEnd w:id="49"/>
      <w:bookmarkStart w:id="50" w:name="Bookmark_I5MB142J2D6NVD0030000400"/>
      <w:bookmarkEnd w:id="50"/>
      <w:r>
        <w:rPr>
          <w:rFonts w:ascii="arial" w:eastAsia="arial" w:hAnsi="arial" w:cs="arial"/>
          <w:b w:val="0"/>
          <w:i w:val="0"/>
          <w:strike w:val="0"/>
          <w:noProof w:val="0"/>
          <w:color w:val="000000"/>
          <w:position w:val="0"/>
          <w:sz w:val="20"/>
          <w:u w:val="none"/>
          <w:vertAlign w:val="baseline"/>
        </w:rPr>
        <w:t xml:space="preserve">Avila argues that he tried to file a petition for certiorari, but it was returned to him by the Clerk's Office of the Supreme Court because he failed to comply with the filing requirements. He argues that the one-year deadline for filing this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begins to run from the date he received the returned petition. Avila cites </w:t>
      </w:r>
      <w:bookmarkStart w:id="51" w:name="Bookmark_I5MB142J2D6NVD0020000400"/>
      <w:bookmarkEnd w:id="51"/>
      <w:hyperlink r:id="rId26" w:history="1">
        <w:r>
          <w:rPr>
            <w:rFonts w:ascii="arial" w:eastAsia="arial" w:hAnsi="arial" w:cs="arial"/>
            <w:b w:val="0"/>
            <w:i/>
            <w:strike w:val="0"/>
            <w:noProof w:val="0"/>
            <w:color w:val="0077CC"/>
            <w:position w:val="0"/>
            <w:sz w:val="20"/>
            <w:u w:val="single"/>
            <w:vertAlign w:val="baseline"/>
          </w:rPr>
          <w:t>Clay v. United States</w:t>
        </w:r>
      </w:hyperlink>
      <w:hyperlink r:id="rId26" w:history="1">
        <w:r>
          <w:rPr>
            <w:rFonts w:ascii="arial" w:eastAsia="arial" w:hAnsi="arial" w:cs="arial"/>
            <w:b w:val="0"/>
            <w:i/>
            <w:strike w:val="0"/>
            <w:noProof w:val="0"/>
            <w:color w:val="0077CC"/>
            <w:position w:val="0"/>
            <w:sz w:val="20"/>
            <w:u w:val="single"/>
            <w:vertAlign w:val="baseline"/>
          </w:rPr>
          <w:t>, 537 U.S. 522, 524-525, 123 S. Ct. 1072, 155 L. Ed. 2d 88 (2003)</w:t>
        </w:r>
      </w:hyperlink>
      <w:r>
        <w:rPr>
          <w:rFonts w:ascii="arial" w:eastAsia="arial" w:hAnsi="arial" w:cs="arial"/>
          <w:b w:val="0"/>
          <w:i w:val="0"/>
          <w:strike w:val="0"/>
          <w:noProof w:val="0"/>
          <w:color w:val="000000"/>
          <w:position w:val="0"/>
          <w:sz w:val="20"/>
          <w:u w:val="none"/>
          <w:vertAlign w:val="baseline"/>
        </w:rPr>
        <w:t xml:space="preserve">, but that case rejected "the issuance of the appellate court mandate as the triggering date," and instead held that "[f]or the purpose of starting the clock on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's one-year limitation period, we hold, a judgment of conviction becomes final when the time expires for filing a petition for certiorari contesting the appellate court's affirmation of the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is the date this court used, which makes Avila's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untimely.</w:t>
      </w:r>
    </w:p>
    <w:p>
      <w:pPr>
        <w:keepNext w:val="0"/>
        <w:spacing w:before="240" w:after="0" w:line="260" w:lineRule="atLeast"/>
        <w:ind w:left="0" w:right="0" w:firstLine="0"/>
        <w:jc w:val="both"/>
      </w:pPr>
      <w:bookmarkStart w:id="52" w:name="Bookmark_para_17"/>
      <w:bookmarkEnd w:id="52"/>
      <w:bookmarkStart w:id="53" w:name="Bookmark_I5MB142J2D6NVD0050000400"/>
      <w:bookmarkEnd w:id="53"/>
      <w:bookmarkStart w:id="54" w:name="Bookmark_I5MB142J2D6NVF0040000400"/>
      <w:bookmarkEnd w:id="54"/>
      <w:r>
        <w:rPr>
          <w:rFonts w:ascii="arial" w:eastAsia="arial" w:hAnsi="arial" w:cs="arial"/>
          <w:b w:val="0"/>
          <w:i w:val="0"/>
          <w:strike w:val="0"/>
          <w:noProof w:val="0"/>
          <w:color w:val="000000"/>
          <w:position w:val="0"/>
          <w:sz w:val="20"/>
          <w:u w:val="none"/>
          <w:vertAlign w:val="baseline"/>
        </w:rPr>
        <w:t xml:space="preserve">Avila cannot rely on equitable tolling to extend the limitations period. Whether to apply equitable tolling depends on the facts and circumstances of each case. </w:t>
      </w:r>
      <w:bookmarkStart w:id="55" w:name="Bookmark_I5MB142J2D6NVD0040000400"/>
      <w:bookmarkEnd w:id="55"/>
      <w:hyperlink r:id="rId27" w:history="1">
        <w:r>
          <w:rPr>
            <w:rFonts w:ascii="arial" w:eastAsia="arial" w:hAnsi="arial" w:cs="arial"/>
            <w:b w:val="0"/>
            <w:i/>
            <w:strike w:val="0"/>
            <w:noProof w:val="0"/>
            <w:color w:val="0077CC"/>
            <w:position w:val="0"/>
            <w:sz w:val="20"/>
            <w:u w:val="single"/>
            <w:vertAlign w:val="baseline"/>
          </w:rPr>
          <w:t>Felder v. Johnson</w:t>
        </w:r>
      </w:hyperlink>
      <w:hyperlink r:id="rId27" w:history="1">
        <w:r>
          <w:rPr>
            <w:rFonts w:ascii="arial" w:eastAsia="arial" w:hAnsi="arial" w:cs="arial"/>
            <w:b w:val="0"/>
            <w:i/>
            <w:strike w:val="0"/>
            <w:noProof w:val="0"/>
            <w:color w:val="0077CC"/>
            <w:position w:val="0"/>
            <w:sz w:val="20"/>
            <w:u w:val="single"/>
            <w:vertAlign w:val="baseline"/>
          </w:rPr>
          <w:t>, 204 F.3d 168, 171(5th Cir. 2000)</w:t>
        </w:r>
      </w:hyperlink>
      <w:r>
        <w:rPr>
          <w:rFonts w:ascii="arial" w:eastAsia="arial" w:hAnsi="arial" w:cs="arial"/>
          <w:b w:val="0"/>
          <w:i w:val="0"/>
          <w:strike w:val="0"/>
          <w:noProof w:val="0"/>
          <w:color w:val="000000"/>
          <w:position w:val="0"/>
          <w:sz w:val="20"/>
          <w:u w:val="none"/>
          <w:vertAlign w:val="baseline"/>
        </w:rPr>
        <w:t xml:space="preserve">; </w:t>
      </w:r>
      <w:bookmarkStart w:id="56" w:name="Bookmark_I5MB142J2D6NVF0010000400"/>
      <w:bookmarkEnd w:id="56"/>
      <w:hyperlink r:id="rId28" w:history="1">
        <w:r>
          <w:rPr>
            <w:rFonts w:ascii="arial" w:eastAsia="arial" w:hAnsi="arial" w:cs="arial"/>
            <w:b w:val="0"/>
            <w:i/>
            <w:strike w:val="0"/>
            <w:noProof w:val="0"/>
            <w:color w:val="0077CC"/>
            <w:position w:val="0"/>
            <w:sz w:val="20"/>
            <w:u w:val="single"/>
            <w:vertAlign w:val="baseline"/>
          </w:rPr>
          <w:t>Alexander v. Cockrell</w:t>
        </w:r>
      </w:hyperlink>
      <w:hyperlink r:id="rId28" w:history="1">
        <w:r>
          <w:rPr>
            <w:rFonts w:ascii="arial" w:eastAsia="arial" w:hAnsi="arial" w:cs="arial"/>
            <w:b w:val="0"/>
            <w:i/>
            <w:strike w:val="0"/>
            <w:noProof w:val="0"/>
            <w:color w:val="0077CC"/>
            <w:position w:val="0"/>
            <w:sz w:val="20"/>
            <w:u w:val="single"/>
            <w:vertAlign w:val="baseline"/>
          </w:rPr>
          <w:t>, 294 F.3d 626, 628 (5th Cir. 2002))</w:t>
        </w:r>
      </w:hyperlink>
      <w:r>
        <w:rPr>
          <w:rFonts w:ascii="arial" w:eastAsia="arial" w:hAnsi="arial" w:cs="arial"/>
          <w:b w:val="0"/>
          <w:i w:val="0"/>
          <w:strike w:val="0"/>
          <w:noProof w:val="0"/>
          <w:color w:val="000000"/>
          <w:position w:val="0"/>
          <w:sz w:val="20"/>
          <w:u w:val="none"/>
          <w:vertAlign w:val="baseline"/>
        </w:rPr>
        <w:t xml:space="preserve">. </w:t>
      </w:r>
      <w:bookmarkStart w:id="57" w:name="Bookmark_I5MB142J28T3V30010000400"/>
      <w:bookmarkEnd w:id="57"/>
      <w:r>
        <w:rPr>
          <w:rFonts w:ascii="arial" w:eastAsia="arial" w:hAnsi="arial" w:cs="arial"/>
          <w:b w:val="0"/>
          <w:i w:val="0"/>
          <w:strike w:val="0"/>
          <w:noProof w:val="0"/>
          <w:color w:val="000000"/>
          <w:position w:val="0"/>
          <w:sz w:val="20"/>
          <w:u w:val="none"/>
          <w:vertAlign w:val="baseline"/>
        </w:rPr>
        <w:t>Equitable tolling is permitted only "in rare and exceptional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circumstances." </w:t>
      </w:r>
      <w:bookmarkStart w:id="58" w:name="Bookmark_I5MB142J2D6NVF0030000400"/>
      <w:bookmarkEnd w:id="58"/>
      <w:hyperlink r:id="rId29" w:history="1">
        <w:r>
          <w:rPr>
            <w:rFonts w:ascii="arial" w:eastAsia="arial" w:hAnsi="arial" w:cs="arial"/>
            <w:b w:val="0"/>
            <w:i/>
            <w:strike w:val="0"/>
            <w:noProof w:val="0"/>
            <w:color w:val="0077CC"/>
            <w:position w:val="0"/>
            <w:sz w:val="20"/>
            <w:u w:val="single"/>
            <w:vertAlign w:val="baseline"/>
          </w:rPr>
          <w:t>Davis v. Johnson</w:t>
        </w:r>
      </w:hyperlink>
      <w:hyperlink r:id="rId29" w:history="1">
        <w:r>
          <w:rPr>
            <w:rFonts w:ascii="arial" w:eastAsia="arial" w:hAnsi="arial" w:cs="arial"/>
            <w:b w:val="0"/>
            <w:i/>
            <w:strike w:val="0"/>
            <w:noProof w:val="0"/>
            <w:color w:val="0077CC"/>
            <w:position w:val="0"/>
            <w:sz w:val="20"/>
            <w:u w:val="single"/>
            <w:vertAlign w:val="baseline"/>
          </w:rPr>
          <w:t>, 158 F.3d 806, 811 (5th Cir. 1998))</w:t>
        </w:r>
      </w:hyperlink>
      <w:r>
        <w:rPr>
          <w:rFonts w:ascii="arial" w:eastAsia="arial" w:hAnsi="arial" w:cs="arial"/>
          <w:b w:val="0"/>
          <w:i w:val="0"/>
          <w:strike w:val="0"/>
          <w:noProof w:val="0"/>
          <w:color w:val="000000"/>
          <w:position w:val="0"/>
          <w:sz w:val="20"/>
          <w:u w:val="none"/>
          <w:vertAlign w:val="baseline"/>
        </w:rPr>
        <w:t xml:space="preserve">. </w:t>
      </w:r>
      <w:bookmarkStart w:id="59" w:name="Bookmark_I5MB142J28T3V30010000400_2"/>
      <w:bookmarkEnd w:id="59"/>
      <w:r>
        <w:rPr>
          <w:rFonts w:ascii="arial" w:eastAsia="arial" w:hAnsi="arial" w:cs="arial"/>
          <w:b w:val="0"/>
          <w:i w:val="0"/>
          <w:strike w:val="0"/>
          <w:noProof w:val="0"/>
          <w:color w:val="000000"/>
          <w:position w:val="0"/>
          <w:sz w:val="20"/>
          <w:u w:val="none"/>
          <w:vertAlign w:val="baseline"/>
        </w:rPr>
        <w:t xml:space="preserve">Avila has the burden of showing that he diligently pursued his claims and that some extraordinary circumstance prevented him from timely filing 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t>
      </w:r>
      <w:bookmarkStart w:id="60" w:name="Bookmark_I5MB142J28T3V30030000400"/>
      <w:bookmarkEnd w:id="60"/>
      <w:bookmarkStart w:id="61" w:name="Bookmark_I5MB142J2D6NVF0050000400"/>
      <w:bookmarkEnd w:id="61"/>
      <w:hyperlink r:id="rId30" w:history="1">
        <w:r>
          <w:rPr>
            <w:rFonts w:ascii="arial" w:eastAsia="arial" w:hAnsi="arial" w:cs="arial"/>
            <w:b w:val="0"/>
            <w:i/>
            <w:strike w:val="0"/>
            <w:noProof w:val="0"/>
            <w:color w:val="0077CC"/>
            <w:position w:val="0"/>
            <w:sz w:val="20"/>
            <w:u w:val="single"/>
            <w:vertAlign w:val="baseline"/>
          </w:rPr>
          <w:t>Lawrence v. Florida</w:t>
        </w:r>
      </w:hyperlink>
      <w:hyperlink r:id="rId30" w:history="1">
        <w:r>
          <w:rPr>
            <w:rFonts w:ascii="arial" w:eastAsia="arial" w:hAnsi="arial" w:cs="arial"/>
            <w:b w:val="0"/>
            <w:i/>
            <w:strike w:val="0"/>
            <w:noProof w:val="0"/>
            <w:color w:val="0077CC"/>
            <w:position w:val="0"/>
            <w:sz w:val="20"/>
            <w:u w:val="single"/>
            <w:vertAlign w:val="baseline"/>
          </w:rPr>
          <w:t>, 549 U.S. 327, 335-36, 127 S. Ct. 1079, 166 L. Ed. 2d 924 (2007))</w:t>
        </w:r>
      </w:hyperlink>
      <w:r>
        <w:rPr>
          <w:rFonts w:ascii="arial" w:eastAsia="arial" w:hAnsi="arial" w:cs="arial"/>
          <w:b w:val="0"/>
          <w:i w:val="0"/>
          <w:strike w:val="0"/>
          <w:noProof w:val="0"/>
          <w:color w:val="000000"/>
          <w:position w:val="0"/>
          <w:sz w:val="20"/>
          <w:u w:val="none"/>
          <w:vertAlign w:val="baseline"/>
        </w:rPr>
        <w:t xml:space="preserve">. </w:t>
      </w:r>
      <w:bookmarkStart w:id="62" w:name="Bookmark_I5MB142J28T3V30030000400_2"/>
      <w:bookmarkEnd w:id="62"/>
      <w:r>
        <w:rPr>
          <w:rFonts w:ascii="arial" w:eastAsia="arial" w:hAnsi="arial" w:cs="arial"/>
          <w:b w:val="0"/>
          <w:i w:val="0"/>
          <w:strike w:val="0"/>
          <w:noProof w:val="0"/>
          <w:color w:val="000000"/>
          <w:position w:val="0"/>
          <w:sz w:val="20"/>
          <w:u w:val="none"/>
          <w:vertAlign w:val="baseline"/>
        </w:rPr>
        <w:t xml:space="preserve">That is a difficult showing to make.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lacking familiarity with the legal process do not satisfy the requirement. </w:t>
      </w:r>
      <w:bookmarkStart w:id="63" w:name="Bookmark_I5MB142J28T3V40040000400"/>
      <w:bookmarkEnd w:id="63"/>
      <w:r>
        <w:rPr>
          <w:rFonts w:ascii="arial" w:eastAsia="arial" w:hAnsi="arial" w:cs="arial"/>
          <w:b w:val="0"/>
          <w:i/>
          <w:strike w:val="0"/>
          <w:noProof w:val="0"/>
          <w:color w:val="000000"/>
          <w:position w:val="0"/>
          <w:sz w:val="20"/>
          <w:u w:val="none"/>
          <w:vertAlign w:val="baseline"/>
        </w:rPr>
        <w:t xml:space="preserve">See, e.g., </w:t>
      </w:r>
      <w:bookmarkStart w:id="64" w:name="Bookmark_I5MB142J28T3V30020000400"/>
      <w:bookmarkEnd w:id="64"/>
      <w:hyperlink r:id="rId27" w:history="1">
        <w:r>
          <w:rPr>
            <w:rFonts w:ascii="arial" w:eastAsia="arial" w:hAnsi="arial" w:cs="arial"/>
            <w:b w:val="0"/>
            <w:i/>
            <w:strike w:val="0"/>
            <w:noProof w:val="0"/>
            <w:color w:val="0077CC"/>
            <w:position w:val="0"/>
            <w:sz w:val="20"/>
            <w:u w:val="single"/>
            <w:vertAlign w:val="baseline"/>
          </w:rPr>
          <w:t>Felder v. Johnson</w:t>
        </w:r>
      </w:hyperlink>
      <w:hyperlink r:id="rId27" w:history="1">
        <w:r>
          <w:rPr>
            <w:rFonts w:ascii="arial" w:eastAsia="arial" w:hAnsi="arial" w:cs="arial"/>
            <w:b w:val="0"/>
            <w:i/>
            <w:strike w:val="0"/>
            <w:noProof w:val="0"/>
            <w:color w:val="0077CC"/>
            <w:position w:val="0"/>
            <w:sz w:val="20"/>
            <w:u w:val="single"/>
            <w:vertAlign w:val="baseline"/>
          </w:rPr>
          <w:t>, 204 F.3d at 171</w:t>
        </w:r>
      </w:hyperlink>
      <w:r>
        <w:rPr>
          <w:rFonts w:ascii="arial" w:eastAsia="arial" w:hAnsi="arial" w:cs="arial"/>
          <w:b w:val="0"/>
          <w:i w:val="0"/>
          <w:strike w:val="0"/>
          <w:noProof w:val="0"/>
          <w:color w:val="000000"/>
          <w:position w:val="0"/>
          <w:sz w:val="20"/>
          <w:u w:val="none"/>
          <w:vertAlign w:val="baseline"/>
        </w:rPr>
        <w:t xml:space="preserve"> (alleged inadequacies in prison law library and lack of notice of AEDPA's requirements did not warrant equitable tolling); </w:t>
      </w:r>
      <w:bookmarkStart w:id="65" w:name="Bookmark_I5MB142J28T3V30040000400"/>
      <w:bookmarkEnd w:id="65"/>
      <w:hyperlink r:id="rId31" w:history="1">
        <w:r>
          <w:rPr>
            <w:rFonts w:ascii="arial" w:eastAsia="arial" w:hAnsi="arial" w:cs="arial"/>
            <w:b w:val="0"/>
            <w:i/>
            <w:strike w:val="0"/>
            <w:noProof w:val="0"/>
            <w:color w:val="0077CC"/>
            <w:position w:val="0"/>
            <w:sz w:val="20"/>
            <w:u w:val="single"/>
            <w:vertAlign w:val="baseline"/>
          </w:rPr>
          <w:t>Turner v. Johnson</w:t>
        </w:r>
      </w:hyperlink>
      <w:hyperlink r:id="rId31" w:history="1">
        <w:r>
          <w:rPr>
            <w:rFonts w:ascii="arial" w:eastAsia="arial" w:hAnsi="arial" w:cs="arial"/>
            <w:b w:val="0"/>
            <w:i/>
            <w:strike w:val="0"/>
            <w:noProof w:val="0"/>
            <w:color w:val="0077CC"/>
            <w:position w:val="0"/>
            <w:sz w:val="20"/>
            <w:u w:val="single"/>
            <w:vertAlign w:val="baseline"/>
          </w:rPr>
          <w:t>, 177 F.3d 390, 392 (5th Cir. 1999)</w:t>
        </w:r>
      </w:hyperlink>
      <w:r>
        <w:rPr>
          <w:rFonts w:ascii="arial" w:eastAsia="arial" w:hAnsi="arial" w:cs="arial"/>
          <w:b w:val="0"/>
          <w:i w:val="0"/>
          <w:strike w:val="0"/>
          <w:noProof w:val="0"/>
          <w:color w:val="000000"/>
          <w:position w:val="0"/>
          <w:sz w:val="20"/>
          <w:u w:val="none"/>
          <w:vertAlign w:val="baseline"/>
        </w:rPr>
        <w:t xml:space="preserve"> (unfamiliarity with the legal process and lack of representation during the filing period did not merit equitable tolling),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66" w:name="Bookmark_I5MB142J28T3V40010000400"/>
      <w:bookmarkEnd w:id="66"/>
      <w:r>
        <w:rPr>
          <w:rFonts w:ascii="arial" w:eastAsia="arial" w:hAnsi="arial" w:cs="arial"/>
          <w:b w:val="0"/>
          <w:i/>
          <w:strike w:val="0"/>
          <w:noProof w:val="0"/>
          <w:color w:val="000000"/>
          <w:position w:val="0"/>
          <w:sz w:val="20"/>
          <w:u w:val="none"/>
          <w:vertAlign w:val="baseline"/>
        </w:rPr>
        <w:t>528 U.S. 1007, 120 S. Ct. 504, 145 L. Ed. 2d 389 (1999)</w:t>
      </w:r>
      <w:r>
        <w:rPr>
          <w:rFonts w:ascii="arial" w:eastAsia="arial" w:hAnsi="arial" w:cs="arial"/>
          <w:b w:val="0"/>
          <w:i w:val="0"/>
          <w:strike w:val="0"/>
          <w:noProof w:val="0"/>
          <w:color w:val="000000"/>
          <w:position w:val="0"/>
          <w:sz w:val="20"/>
          <w:u w:val="none"/>
          <w:vertAlign w:val="baseline"/>
        </w:rPr>
        <w:t xml:space="preserve">. </w:t>
      </w:r>
      <w:bookmarkStart w:id="67" w:name="Bookmark_I5MB142J28T3V40040000400_2"/>
      <w:bookmarkEnd w:id="67"/>
      <w:bookmarkStart w:id="68" w:name="Bookmark_I5MB142J2SF8S20010000400"/>
      <w:bookmarkEnd w:id="68"/>
      <w:r>
        <w:rPr>
          <w:rFonts w:ascii="arial" w:eastAsia="arial" w:hAnsi="arial" w:cs="arial"/>
          <w:b w:val="0"/>
          <w:i w:val="0"/>
          <w:strike w:val="0"/>
          <w:noProof w:val="0"/>
          <w:color w:val="000000"/>
          <w:position w:val="0"/>
          <w:sz w:val="20"/>
          <w:u w:val="none"/>
          <w:vertAlign w:val="baseline"/>
        </w:rPr>
        <w:t xml:space="preserve">Avila's status as an unskilled layperson does not excuse the delay in filing this motion. </w:t>
      </w:r>
      <w:bookmarkStart w:id="69" w:name="Bookmark_I5MB142J28T3V40030000400"/>
      <w:bookmarkEnd w:id="69"/>
      <w:hyperlink r:id="rId32" w:history="1">
        <w:r>
          <w:rPr>
            <w:rFonts w:ascii="arial" w:eastAsia="arial" w:hAnsi="arial" w:cs="arial"/>
            <w:b w:val="0"/>
            <w:i/>
            <w:strike w:val="0"/>
            <w:noProof w:val="0"/>
            <w:color w:val="0077CC"/>
            <w:position w:val="0"/>
            <w:sz w:val="20"/>
            <w:u w:val="single"/>
            <w:vertAlign w:val="baseline"/>
          </w:rPr>
          <w:t>Lookingbill v. Cockrell</w:t>
        </w:r>
      </w:hyperlink>
      <w:hyperlink r:id="rId32" w:history="1">
        <w:r>
          <w:rPr>
            <w:rFonts w:ascii="arial" w:eastAsia="arial" w:hAnsi="arial" w:cs="arial"/>
            <w:b w:val="0"/>
            <w:i/>
            <w:strike w:val="0"/>
            <w:noProof w:val="0"/>
            <w:color w:val="0077CC"/>
            <w:position w:val="0"/>
            <w:sz w:val="20"/>
            <w:u w:val="single"/>
            <w:vertAlign w:val="baseline"/>
          </w:rPr>
          <w:t>, 293 F.3d 256, 264 n.14 (5th Cir. 2002)</w:t>
        </w:r>
      </w:hyperlink>
      <w:r>
        <w:rPr>
          <w:rFonts w:ascii="arial" w:eastAsia="arial" w:hAnsi="arial" w:cs="arial"/>
          <w:b w:val="0"/>
          <w:i w:val="0"/>
          <w:strike w:val="0"/>
          <w:noProof w:val="0"/>
          <w:color w:val="000000"/>
          <w:position w:val="0"/>
          <w:sz w:val="20"/>
          <w:u w:val="none"/>
          <w:vertAlign w:val="baseline"/>
        </w:rPr>
        <w:t xml:space="preserve">. </w:t>
      </w:r>
      <w:bookmarkStart w:id="70" w:name="Bookmark_I5MB142J2SF8S20010000400_2"/>
      <w:bookmarkEnd w:id="70"/>
      <w:bookmarkStart w:id="71" w:name="Bookmark_I5MB142J28T3V40050000400"/>
      <w:bookmarkEnd w:id="71"/>
      <w:hyperlink r:id="rId33" w:history="1">
        <w:r>
          <w:rPr>
            <w:rFonts w:ascii="arial" w:eastAsia="arial" w:hAnsi="arial" w:cs="arial"/>
            <w:b w:val="0"/>
            <w:i/>
            <w:strike w:val="0"/>
            <w:noProof w:val="0"/>
            <w:color w:val="0077CC"/>
            <w:position w:val="0"/>
            <w:sz w:val="20"/>
            <w:u w:val="single"/>
            <w:vertAlign w:val="baseline"/>
          </w:rPr>
          <w:t>Fisher v. Johnson</w:t>
        </w:r>
      </w:hyperlink>
      <w:hyperlink r:id="rId33" w:history="1">
        <w:r>
          <w:rPr>
            <w:rFonts w:ascii="arial" w:eastAsia="arial" w:hAnsi="arial" w:cs="arial"/>
            <w:b w:val="0"/>
            <w:i/>
            <w:strike w:val="0"/>
            <w:noProof w:val="0"/>
            <w:color w:val="0077CC"/>
            <w:position w:val="0"/>
            <w:sz w:val="20"/>
            <w:u w:val="single"/>
            <w:vertAlign w:val="baseline"/>
          </w:rPr>
          <w:t>, 174 F.3d 710, 714 (5th Cir. 1999)</w:t>
        </w:r>
      </w:hyperlink>
      <w:r>
        <w:rPr>
          <w:rFonts w:ascii="arial" w:eastAsia="arial" w:hAnsi="arial" w:cs="arial"/>
          <w:b w:val="0"/>
          <w:i w:val="0"/>
          <w:strike w:val="0"/>
          <w:noProof w:val="0"/>
          <w:color w:val="000000"/>
          <w:position w:val="0"/>
          <w:sz w:val="20"/>
          <w:u w:val="none"/>
          <w:vertAlign w:val="baseline"/>
        </w:rPr>
        <w:t xml:space="preserve">; </w:t>
      </w:r>
      <w:bookmarkStart w:id="72" w:name="Bookmark_I5MB142J2SF8S20020000400"/>
      <w:bookmarkEnd w:id="72"/>
      <w:hyperlink r:id="rId29" w:history="1">
        <w:r>
          <w:rPr>
            <w:rFonts w:ascii="arial" w:eastAsia="arial" w:hAnsi="arial" w:cs="arial"/>
            <w:b w:val="0"/>
            <w:i/>
            <w:strike w:val="0"/>
            <w:noProof w:val="0"/>
            <w:color w:val="0077CC"/>
            <w:position w:val="0"/>
            <w:sz w:val="20"/>
            <w:u w:val="single"/>
            <w:vertAlign w:val="baseline"/>
          </w:rPr>
          <w:t>Davis v. Johnson</w:t>
        </w:r>
      </w:hyperlink>
      <w:hyperlink r:id="rId29" w:history="1">
        <w:r>
          <w:rPr>
            <w:rFonts w:ascii="arial" w:eastAsia="arial" w:hAnsi="arial" w:cs="arial"/>
            <w:b w:val="0"/>
            <w:i/>
            <w:strike w:val="0"/>
            <w:noProof w:val="0"/>
            <w:color w:val="0077CC"/>
            <w:position w:val="0"/>
            <w:sz w:val="20"/>
            <w:u w:val="single"/>
            <w:vertAlign w:val="baseline"/>
          </w:rPr>
          <w:t>, 158 F.3d 806, 808-12 (5th Cir. 1998)</w:t>
        </w:r>
      </w:hyperlink>
      <w:r>
        <w:rPr>
          <w:rFonts w:ascii="arial" w:eastAsia="arial" w:hAnsi="arial" w:cs="arial"/>
          <w:b w:val="0"/>
          <w:i w:val="0"/>
          <w:strike w:val="0"/>
          <w:noProof w:val="0"/>
          <w:color w:val="000000"/>
          <w:position w:val="0"/>
          <w:sz w:val="20"/>
          <w:u w:val="none"/>
          <w:vertAlign w:val="baseline"/>
        </w:rPr>
        <w:t xml:space="preserve">; </w:t>
      </w:r>
      <w:bookmarkStart w:id="73" w:name="Bookmark_I5MB142J2SF8S20040000400"/>
      <w:bookmarkEnd w:id="73"/>
      <w:hyperlink r:id="rId34" w:history="1">
        <w:r>
          <w:rPr>
            <w:rFonts w:ascii="arial" w:eastAsia="arial" w:hAnsi="arial" w:cs="arial"/>
            <w:b w:val="0"/>
            <w:i/>
            <w:strike w:val="0"/>
            <w:noProof w:val="0"/>
            <w:color w:val="0077CC"/>
            <w:position w:val="0"/>
            <w:sz w:val="20"/>
            <w:u w:val="single"/>
            <w:vertAlign w:val="baseline"/>
          </w:rPr>
          <w:t>Barrow v. New Orleans S.S. Ass'n</w:t>
        </w:r>
      </w:hyperlink>
      <w:hyperlink r:id="rId34" w:history="1">
        <w:r>
          <w:rPr>
            <w:rFonts w:ascii="arial" w:eastAsia="arial" w:hAnsi="arial" w:cs="arial"/>
            <w:b w:val="0"/>
            <w:i/>
            <w:strike w:val="0"/>
            <w:noProof w:val="0"/>
            <w:color w:val="0077CC"/>
            <w:position w:val="0"/>
            <w:sz w:val="20"/>
            <w:u w:val="single"/>
            <w:vertAlign w:val="baseline"/>
          </w:rPr>
          <w:t>, 932 F.2d 473, 478 (5th Cir. 1991)</w:t>
        </w:r>
      </w:hyperlink>
      <w:r>
        <w:rPr>
          <w:rFonts w:ascii="arial" w:eastAsia="arial" w:hAnsi="arial" w:cs="arial"/>
          <w:b w:val="0"/>
          <w:i w:val="0"/>
          <w:strike w:val="0"/>
          <w:noProof w:val="0"/>
          <w:color w:val="000000"/>
          <w:position w:val="0"/>
          <w:sz w:val="20"/>
          <w:u w:val="none"/>
          <w:vertAlign w:val="baseline"/>
        </w:rPr>
        <w:t xml:space="preserve">; </w:t>
      </w:r>
      <w:bookmarkStart w:id="74" w:name="Bookmark_I5MB142J2SF8S30010000400"/>
      <w:bookmarkEnd w:id="74"/>
      <w:hyperlink r:id="rId35" w:history="1">
        <w:r>
          <w:rPr>
            <w:rFonts w:ascii="arial" w:eastAsia="arial" w:hAnsi="arial" w:cs="arial"/>
            <w:b w:val="0"/>
            <w:i/>
            <w:strike w:val="0"/>
            <w:noProof w:val="0"/>
            <w:color w:val="0077CC"/>
            <w:position w:val="0"/>
            <w:sz w:val="20"/>
            <w:u w:val="single"/>
            <w:vertAlign w:val="baseline"/>
          </w:rPr>
          <w:t>Saahir v. Collins</w:t>
        </w:r>
      </w:hyperlink>
      <w:hyperlink r:id="rId35" w:history="1">
        <w:r>
          <w:rPr>
            <w:rFonts w:ascii="arial" w:eastAsia="arial" w:hAnsi="arial" w:cs="arial"/>
            <w:b w:val="0"/>
            <w:i/>
            <w:strike w:val="0"/>
            <w:noProof w:val="0"/>
            <w:color w:val="0077CC"/>
            <w:position w:val="0"/>
            <w:sz w:val="20"/>
            <w:u w:val="single"/>
            <w:vertAlign w:val="baseline"/>
          </w:rPr>
          <w:t>, 956 F.2d 115, 118-19 (5th Cir. 1992)</w:t>
        </w:r>
      </w:hyperlink>
      <w:r>
        <w:rPr>
          <w:rFonts w:ascii="arial" w:eastAsia="arial" w:hAnsi="arial" w:cs="arial"/>
          <w:b w:val="0"/>
          <w:i w:val="0"/>
          <w:strike w:val="0"/>
          <w:noProof w:val="0"/>
          <w:color w:val="000000"/>
          <w:position w:val="0"/>
          <w:sz w:val="20"/>
          <w:u w:val="none"/>
          <w:vertAlign w:val="baseline"/>
        </w:rPr>
        <w:t xml:space="preserve"> (neither prisoner's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status nor ignorance of the law constitutes "cause" for failing to include legal claim in prior petition).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is not a "rare and exceptional" circumstance that justifies equitable tolling.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are the rule, not the exception, in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suits.</w:t>
      </w:r>
    </w:p>
    <w:p>
      <w:pPr>
        <w:keepNext w:val="0"/>
        <w:spacing w:before="240" w:after="0" w:line="260" w:lineRule="atLeast"/>
        <w:ind w:left="0" w:right="0" w:firstLine="0"/>
        <w:jc w:val="both"/>
      </w:pPr>
      <w:bookmarkStart w:id="75" w:name="Bookmark_para_18"/>
      <w:bookmarkEnd w:id="75"/>
      <w:r>
        <w:rPr>
          <w:rFonts w:ascii="arial" w:eastAsia="arial" w:hAnsi="arial" w:cs="arial"/>
          <w:b w:val="0"/>
          <w:i w:val="0"/>
          <w:strike w:val="0"/>
          <w:noProof w:val="0"/>
          <w:color w:val="000000"/>
          <w:position w:val="0"/>
          <w:sz w:val="20"/>
          <w:u w:val="none"/>
          <w:vertAlign w:val="baseline"/>
        </w:rPr>
        <w:t>Nor does Avila satisfy any of the exceptions to the AEDPA statute of limitations because no unconstitutional state action prevented him from filing an earlier application for federal habeas relief. His claims do not relate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a constitutional right recognized by the Supreme Court within the last year and made retroactive to cases on collateral review. </w:t>
      </w:r>
      <w:hyperlink r:id="rId36" w:history="1">
        <w:r>
          <w:rPr>
            <w:rFonts w:ascii="arial" w:eastAsia="arial" w:hAnsi="arial" w:cs="arial"/>
            <w:b w:val="0"/>
            <w:i/>
            <w:strike w:val="0"/>
            <w:noProof w:val="0"/>
            <w:color w:val="0077CC"/>
            <w:position w:val="0"/>
            <w:sz w:val="20"/>
            <w:u w:val="single"/>
            <w:vertAlign w:val="baseline"/>
          </w:rPr>
          <w:t>28 U.S.C. § 2244(d)(1)(B)</w:t>
        </w:r>
      </w:hyperlink>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28 U.S.C. § 2244(d)(1)(C)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para_19"/>
      <w:bookmarkEnd w:id="76"/>
      <w:r>
        <w:rPr>
          <w:rFonts w:ascii="arial" w:eastAsia="arial" w:hAnsi="arial" w:cs="arial"/>
          <w:b w:val="0"/>
          <w:i w:val="0"/>
          <w:strike w:val="0"/>
          <w:noProof w:val="0"/>
          <w:color w:val="000000"/>
          <w:position w:val="0"/>
          <w:sz w:val="20"/>
          <w:u w:val="none"/>
          <w:vertAlign w:val="baseline"/>
        </w:rPr>
        <w:t xml:space="preserve">The government's motion to dismiss based on untimely filing is granted. Even assuming that Avila's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was timely, the court grants the government's motion to dismiss based on lack of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The Claims Do Not Set Out a Basis for Relief on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Legal Standard for Ineffective Assistance of Counsel</w:t>
      </w:r>
    </w:p>
    <w:p>
      <w:pPr>
        <w:keepNext w:val="0"/>
        <w:spacing w:before="240" w:after="0" w:line="260" w:lineRule="atLeast"/>
        <w:ind w:left="0" w:right="0" w:firstLine="0"/>
        <w:jc w:val="both"/>
      </w:pPr>
      <w:bookmarkStart w:id="77" w:name="Bookmark_para_20"/>
      <w:bookmarkEnd w:id="77"/>
      <w:bookmarkStart w:id="78" w:name="Bookmark_I069W27RRN1000RDP0700002"/>
      <w:bookmarkEnd w:id="78"/>
      <w:bookmarkStart w:id="79" w:name="Bookmark_I5MB142J2SF8S30040000400"/>
      <w:bookmarkEnd w:id="79"/>
      <w:bookmarkStart w:id="80" w:name="Bookmark_I3VC78F28PY00008B8G005H2"/>
      <w:bookmarkEnd w:id="80"/>
      <w:bookmarkStart w:id="81" w:name="Bookmark_I5MB142J2HM6H60010000400"/>
      <w:bookmarkEnd w:id="81"/>
      <w:r>
        <w:rPr>
          <w:rFonts w:ascii="arial" w:eastAsia="arial" w:hAnsi="arial" w:cs="arial"/>
          <w:b w:val="0"/>
          <w:i w:val="0"/>
          <w:strike w:val="0"/>
          <w:noProof w:val="0"/>
          <w:color w:val="000000"/>
          <w:position w:val="0"/>
          <w:sz w:val="20"/>
          <w:u w:val="none"/>
          <w:vertAlign w:val="baseline"/>
        </w:rPr>
        <w:t xml:space="preserve">An ineffective assistance of counsel allegation presented in a </w:t>
      </w:r>
      <w:hyperlink r:id="rId37" w:history="1">
        <w:r>
          <w:rPr>
            <w:rFonts w:ascii="arial" w:eastAsia="arial" w:hAnsi="arial" w:cs="arial"/>
            <w:b w:val="0"/>
            <w:i/>
            <w:strike w:val="0"/>
            <w:noProof w:val="0"/>
            <w:color w:val="0077CC"/>
            <w:position w:val="0"/>
            <w:sz w:val="20"/>
            <w:u w:val="single"/>
            <w:vertAlign w:val="baseline"/>
          </w:rPr>
          <w:t>§ 2254</w:t>
        </w:r>
      </w:hyperlink>
      <w:r>
        <w:rPr>
          <w:rFonts w:ascii="arial" w:eastAsia="arial" w:hAnsi="arial" w:cs="arial"/>
          <w:b w:val="0"/>
          <w:i w:val="0"/>
          <w:strike w:val="0"/>
          <w:noProof w:val="0"/>
          <w:color w:val="000000"/>
          <w:position w:val="0"/>
          <w:sz w:val="20"/>
          <w:u w:val="none"/>
          <w:vertAlign w:val="baseline"/>
        </w:rPr>
        <w:t xml:space="preserve"> motion is analyzed under </w:t>
      </w:r>
      <w:bookmarkStart w:id="82" w:name="Bookmark_I5MB142J2SF8S30030000400"/>
      <w:bookmarkEnd w:id="82"/>
      <w:hyperlink r:id="rId38" w:history="1">
        <w:r>
          <w:rPr>
            <w:rFonts w:ascii="arial" w:eastAsia="arial" w:hAnsi="arial" w:cs="arial"/>
            <w:b w:val="0"/>
            <w:i/>
            <w:strike w:val="0"/>
            <w:noProof w:val="0"/>
            <w:color w:val="0077CC"/>
            <w:position w:val="0"/>
            <w:sz w:val="20"/>
            <w:u w:val="single"/>
            <w:vertAlign w:val="baseline"/>
          </w:rPr>
          <w:t>Strickland v. Washington</w:t>
        </w:r>
      </w:hyperlink>
      <w:hyperlink r:id="rId38"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83" w:name="Bookmark_I5MB142J2HM6H60030000400"/>
      <w:bookmarkEnd w:id="83"/>
      <w:bookmarkStart w:id="84" w:name="Bookmark_I5MB142J2SF8S30050000400"/>
      <w:bookmarkEnd w:id="84"/>
      <w:hyperlink r:id="rId39" w:history="1">
        <w:r>
          <w:rPr>
            <w:rFonts w:ascii="arial" w:eastAsia="arial" w:hAnsi="arial" w:cs="arial"/>
            <w:b w:val="0"/>
            <w:i/>
            <w:strike w:val="0"/>
            <w:noProof w:val="0"/>
            <w:color w:val="0077CC"/>
            <w:position w:val="0"/>
            <w:sz w:val="20"/>
            <w:u w:val="single"/>
            <w:vertAlign w:val="baseline"/>
          </w:rPr>
          <w:t>United States v. Willis</w:t>
        </w:r>
      </w:hyperlink>
      <w:hyperlink r:id="rId39" w:history="1">
        <w:r>
          <w:rPr>
            <w:rFonts w:ascii="arial" w:eastAsia="arial" w:hAnsi="arial" w:cs="arial"/>
            <w:b w:val="0"/>
            <w:i/>
            <w:strike w:val="0"/>
            <w:noProof w:val="0"/>
            <w:color w:val="0077CC"/>
            <w:position w:val="0"/>
            <w:sz w:val="20"/>
            <w:u w:val="single"/>
            <w:vertAlign w:val="baseline"/>
          </w:rPr>
          <w:t>, 273 F.3d 592, 598 (5th Cir. 2001)</w:t>
        </w:r>
      </w:hyperlink>
      <w:r>
        <w:rPr>
          <w:rFonts w:ascii="arial" w:eastAsia="arial" w:hAnsi="arial" w:cs="arial"/>
          <w:b w:val="0"/>
          <w:i w:val="0"/>
          <w:strike w:val="0"/>
          <w:noProof w:val="0"/>
          <w:color w:val="000000"/>
          <w:position w:val="0"/>
          <w:sz w:val="20"/>
          <w:u w:val="none"/>
          <w:vertAlign w:val="baseline"/>
        </w:rPr>
        <w:t xml:space="preserve">. To prevail on the claim, a movant must demonstrate that his counsel's performance was both deficient and prejudicial. </w:t>
      </w:r>
      <w:bookmarkStart w:id="85" w:name="Bookmark_I5MB142J2HM6H60030000400_2"/>
      <w:bookmarkEnd w:id="85"/>
      <w:bookmarkStart w:id="86" w:name="Bookmark_I5MB142J2HM6H60050000400"/>
      <w:bookmarkEnd w:id="86"/>
      <w:bookmarkStart w:id="87" w:name="Bookmark_I5MB142J2HM6H60020000400"/>
      <w:bookmarkEnd w:id="87"/>
      <w:hyperlink r:id="rId38" w:history="1">
        <w:r>
          <w:rPr>
            <w:rFonts w:ascii="arial" w:eastAsia="arial" w:hAnsi="arial" w:cs="arial"/>
            <w:b w:val="0"/>
            <w:i/>
            <w:strike w:val="0"/>
            <w:noProof w:val="0"/>
            <w:color w:val="0077CC"/>
            <w:position w:val="0"/>
            <w:sz w:val="20"/>
            <w:u w:val="single"/>
            <w:vertAlign w:val="baseline"/>
          </w:rPr>
          <w:t>Strickland</w:t>
        </w:r>
      </w:hyperlink>
      <w:hyperlink r:id="rId38"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 xml:space="preserve">. </w:t>
      </w:r>
      <w:bookmarkStart w:id="88" w:name="Bookmark_I5MB142J2HM6H60050000400_2"/>
      <w:bookmarkEnd w:id="88"/>
      <w:r>
        <w:rPr>
          <w:rFonts w:ascii="arial" w:eastAsia="arial" w:hAnsi="arial" w:cs="arial"/>
          <w:b w:val="0"/>
          <w:i w:val="0"/>
          <w:strike w:val="0"/>
          <w:noProof w:val="0"/>
          <w:color w:val="000000"/>
          <w:position w:val="0"/>
          <w:sz w:val="20"/>
          <w:u w:val="none"/>
          <w:vertAlign w:val="baseline"/>
        </w:rPr>
        <w:t xml:space="preserve">The movant must show that counsel's performance was outside the broad range of what is considered reasonable assistance and that this deficient performance led to an unfair and unreliable conviction and sentence. </w:t>
      </w:r>
      <w:bookmarkStart w:id="89" w:name="Bookmark_I5MB142J2HM6H60040000400"/>
      <w:bookmarkEnd w:id="89"/>
      <w:hyperlink r:id="rId40" w:history="1">
        <w:r>
          <w:rPr>
            <w:rFonts w:ascii="arial" w:eastAsia="arial" w:hAnsi="arial" w:cs="arial"/>
            <w:b w:val="0"/>
            <w:i/>
            <w:strike w:val="0"/>
            <w:noProof w:val="0"/>
            <w:color w:val="0077CC"/>
            <w:position w:val="0"/>
            <w:sz w:val="20"/>
            <w:u w:val="single"/>
            <w:vertAlign w:val="baseline"/>
          </w:rPr>
          <w:t>United States v. Dovalina</w:t>
        </w:r>
      </w:hyperlink>
      <w:hyperlink r:id="rId40" w:history="1">
        <w:r>
          <w:rPr>
            <w:rFonts w:ascii="arial" w:eastAsia="arial" w:hAnsi="arial" w:cs="arial"/>
            <w:b w:val="0"/>
            <w:i/>
            <w:strike w:val="0"/>
            <w:noProof w:val="0"/>
            <w:color w:val="0077CC"/>
            <w:position w:val="0"/>
            <w:sz w:val="20"/>
            <w:u w:val="single"/>
            <w:vertAlign w:val="baseline"/>
          </w:rPr>
          <w:t>, 262 F.3d 472, 474-75 (5th Cir.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21"/>
      <w:bookmarkEnd w:id="90"/>
      <w:bookmarkStart w:id="91" w:name="Bookmark_I5MB142J2HM6H70020000400"/>
      <w:bookmarkEnd w:id="91"/>
      <w:bookmarkStart w:id="92" w:name="Bookmark_I5MB142J2HM6H70040000400"/>
      <w:bookmarkEnd w:id="92"/>
      <w:r>
        <w:rPr>
          <w:rFonts w:ascii="arial" w:eastAsia="arial" w:hAnsi="arial" w:cs="arial"/>
          <w:b w:val="0"/>
          <w:i w:val="0"/>
          <w:strike w:val="0"/>
          <w:noProof w:val="0"/>
          <w:color w:val="000000"/>
          <w:position w:val="0"/>
          <w:sz w:val="20"/>
          <w:u w:val="none"/>
          <w:vertAlign w:val="baseline"/>
        </w:rPr>
        <w:t xml:space="preserve">Counsel's performance is constitutionally deficient if it falls below "an objective standard of reasonableness." </w:t>
      </w:r>
      <w:bookmarkStart w:id="93" w:name="Bookmark_I5MB142J2HM6H70010000400"/>
      <w:bookmarkEnd w:id="93"/>
      <w:hyperlink r:id="rId38" w:history="1">
        <w:r>
          <w:rPr>
            <w:rFonts w:ascii="arial" w:eastAsia="arial" w:hAnsi="arial" w:cs="arial"/>
            <w:b w:val="0"/>
            <w:i/>
            <w:strike w:val="0"/>
            <w:noProof w:val="0"/>
            <w:color w:val="0077CC"/>
            <w:position w:val="0"/>
            <w:sz w:val="20"/>
            <w:u w:val="single"/>
            <w:vertAlign w:val="baseline"/>
          </w:rPr>
          <w:t>Strickland</w:t>
        </w:r>
      </w:hyperlink>
      <w:hyperlink r:id="rId38" w:history="1">
        <w:r>
          <w:rPr>
            <w:rFonts w:ascii="arial" w:eastAsia="arial" w:hAnsi="arial" w:cs="arial"/>
            <w:b w:val="0"/>
            <w:i/>
            <w:strike w:val="0"/>
            <w:noProof w:val="0"/>
            <w:color w:val="0077CC"/>
            <w:position w:val="0"/>
            <w:sz w:val="20"/>
            <w:u w:val="single"/>
            <w:vertAlign w:val="baseline"/>
          </w:rPr>
          <w:t>, 466 U.S. at 688</w:t>
        </w:r>
      </w:hyperlink>
      <w:r>
        <w:rPr>
          <w:rFonts w:ascii="arial" w:eastAsia="arial" w:hAnsi="arial" w:cs="arial"/>
          <w:b w:val="0"/>
          <w:i w:val="0"/>
          <w:strike w:val="0"/>
          <w:noProof w:val="0"/>
          <w:color w:val="000000"/>
          <w:position w:val="0"/>
          <w:sz w:val="20"/>
          <w:u w:val="none"/>
          <w:vertAlign w:val="baseline"/>
        </w:rPr>
        <w:t xml:space="preserve">. In reviewing an ineffectiveness claim, "judicial scrutiny of counsel's performance must be highly deferential," and every effort must be made to eliminate "the distorting effects of hindsight." </w:t>
      </w:r>
      <w:bookmarkStart w:id="94" w:name="Bookmark_I5MB142J2HM6H70030000400"/>
      <w:bookmarkEnd w:id="94"/>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689</w:t>
        </w:r>
      </w:hyperlink>
      <w:r>
        <w:rPr>
          <w:rFonts w:ascii="arial" w:eastAsia="arial" w:hAnsi="arial" w:cs="arial"/>
          <w:b w:val="0"/>
          <w:i w:val="0"/>
          <w:strike w:val="0"/>
          <w:noProof w:val="0"/>
          <w:color w:val="000000"/>
          <w:position w:val="0"/>
          <w:sz w:val="20"/>
          <w:u w:val="none"/>
          <w:vertAlign w:val="baseline"/>
        </w:rPr>
        <w:t>. An ineffective-assistance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claim focuses on "counsel's challenged conduct on the facts of the particular case, viewed as of the time of counsel's conduct[,]" because otherwise "[i]t is all too tempting for a defendant to second-guess counsel's assistance after conviction or adverse sentence."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5" w:name="Bookmark_para_22"/>
      <w:bookmarkEnd w:id="95"/>
      <w:bookmarkStart w:id="96" w:name="Bookmark_I5MB142J2N1R600010000400"/>
      <w:bookmarkEnd w:id="96"/>
      <w:bookmarkStart w:id="97" w:name="Bookmark_I5MB142J2N1R600030000400"/>
      <w:bookmarkEnd w:id="97"/>
      <w:r>
        <w:rPr>
          <w:rFonts w:ascii="arial" w:eastAsia="arial" w:hAnsi="arial" w:cs="arial"/>
          <w:b w:val="0"/>
          <w:i w:val="0"/>
          <w:strike w:val="0"/>
          <w:noProof w:val="0"/>
          <w:color w:val="000000"/>
          <w:position w:val="0"/>
          <w:sz w:val="20"/>
          <w:u w:val="none"/>
          <w:vertAlign w:val="baseline"/>
        </w:rPr>
        <w:t xml:space="preserve">The prejudice element requires the movant to show that "there is a reasonable probability that, but for counsel's unprofessional errors, the result of the proceeding would have been different." </w:t>
      </w:r>
      <w:bookmarkStart w:id="98" w:name="Bookmark_I5MB142J2HM6H70050000400"/>
      <w:bookmarkEnd w:id="98"/>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w:t>
      </w:r>
      <w:bookmarkStart w:id="99" w:name="Bookmark_I5MB142J2N1R600050000400"/>
      <w:bookmarkEnd w:id="99"/>
      <w:r>
        <w:rPr>
          <w:rFonts w:ascii="arial" w:eastAsia="arial" w:hAnsi="arial" w:cs="arial"/>
          <w:b w:val="0"/>
          <w:i w:val="0"/>
          <w:strike w:val="0"/>
          <w:noProof w:val="0"/>
          <w:color w:val="000000"/>
          <w:position w:val="0"/>
          <w:sz w:val="20"/>
          <w:u w:val="none"/>
          <w:vertAlign w:val="baseline"/>
        </w:rPr>
        <w:t xml:space="preserve">"A reasonable probability is a probability sufficient to undermine confidence in the outcome."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the movant fails to prove one prong of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it is not necessary to analyze the other. </w:t>
      </w:r>
      <w:bookmarkStart w:id="100" w:name="Bookmark_I5MB142J2N1R600020000400"/>
      <w:bookmarkEnd w:id="100"/>
      <w:hyperlink r:id="rId41" w:history="1">
        <w:r>
          <w:rPr>
            <w:rFonts w:ascii="arial" w:eastAsia="arial" w:hAnsi="arial" w:cs="arial"/>
            <w:b w:val="0"/>
            <w:i/>
            <w:strike w:val="0"/>
            <w:noProof w:val="0"/>
            <w:color w:val="0077CC"/>
            <w:position w:val="0"/>
            <w:sz w:val="20"/>
            <w:u w:val="single"/>
            <w:vertAlign w:val="baseline"/>
          </w:rPr>
          <w:t>Armstead v. Scott</w:t>
        </w:r>
      </w:hyperlink>
      <w:hyperlink r:id="rId41" w:history="1">
        <w:r>
          <w:rPr>
            <w:rFonts w:ascii="arial" w:eastAsia="arial" w:hAnsi="arial" w:cs="arial"/>
            <w:b w:val="0"/>
            <w:i/>
            <w:strike w:val="0"/>
            <w:noProof w:val="0"/>
            <w:color w:val="0077CC"/>
            <w:position w:val="0"/>
            <w:sz w:val="20"/>
            <w:u w:val="single"/>
            <w:vertAlign w:val="baseline"/>
          </w:rPr>
          <w:t>, 37 F.3d 202, 210 (5th Cir. 1994)</w:t>
        </w:r>
      </w:hyperlink>
      <w:r>
        <w:rPr>
          <w:rFonts w:ascii="arial" w:eastAsia="arial" w:hAnsi="arial" w:cs="arial"/>
          <w:b w:val="0"/>
          <w:i w:val="0"/>
          <w:strike w:val="0"/>
          <w:noProof w:val="0"/>
          <w:color w:val="000000"/>
          <w:position w:val="0"/>
          <w:sz w:val="20"/>
          <w:u w:val="none"/>
          <w:vertAlign w:val="baseline"/>
        </w:rPr>
        <w:t xml:space="preserve"> ("A court need not address both components of the inquiry if the defendant makes an insufficient showing on one."). </w:t>
      </w:r>
      <w:bookmarkStart w:id="101" w:name="Bookmark_I5MB142J2N1R600050000400_2"/>
      <w:bookmarkEnd w:id="101"/>
      <w:r>
        <w:rPr>
          <w:rFonts w:ascii="arial" w:eastAsia="arial" w:hAnsi="arial" w:cs="arial"/>
          <w:b w:val="0"/>
          <w:i w:val="0"/>
          <w:strike w:val="0"/>
          <w:noProof w:val="0"/>
          <w:color w:val="000000"/>
          <w:position w:val="0"/>
          <w:sz w:val="20"/>
          <w:u w:val="none"/>
          <w:vertAlign w:val="baseline"/>
        </w:rPr>
        <w:t xml:space="preserve">"Failure to prove either deficient performance or actual prejudice is fatal to an ineffective assistance claim." </w:t>
      </w:r>
      <w:bookmarkStart w:id="102" w:name="Bookmark_I5MB142J2N1R600040000400"/>
      <w:bookmarkEnd w:id="102"/>
      <w:hyperlink r:id="rId42" w:history="1">
        <w:r>
          <w:rPr>
            <w:rFonts w:ascii="arial" w:eastAsia="arial" w:hAnsi="arial" w:cs="arial"/>
            <w:b w:val="0"/>
            <w:i/>
            <w:strike w:val="0"/>
            <w:noProof w:val="0"/>
            <w:color w:val="0077CC"/>
            <w:position w:val="0"/>
            <w:sz w:val="20"/>
            <w:u w:val="single"/>
            <w:vertAlign w:val="baseline"/>
          </w:rPr>
          <w:t>Carter v. Johnson</w:t>
        </w:r>
      </w:hyperlink>
      <w:hyperlink r:id="rId42" w:history="1">
        <w:r>
          <w:rPr>
            <w:rFonts w:ascii="arial" w:eastAsia="arial" w:hAnsi="arial" w:cs="arial"/>
            <w:b w:val="0"/>
            <w:i/>
            <w:strike w:val="0"/>
            <w:noProof w:val="0"/>
            <w:color w:val="0077CC"/>
            <w:position w:val="0"/>
            <w:sz w:val="20"/>
            <w:u w:val="single"/>
            <w:vertAlign w:val="baseline"/>
          </w:rPr>
          <w:t>, 131 F.3d 452, 463 (5th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3" w:name="Bookmark_para_23"/>
      <w:bookmarkEnd w:id="103"/>
      <w:r>
        <w:rPr>
          <w:rFonts w:ascii="arial" w:eastAsia="arial" w:hAnsi="arial" w:cs="arial"/>
          <w:b w:val="0"/>
          <w:i w:val="0"/>
          <w:strike w:val="0"/>
          <w:noProof w:val="0"/>
          <w:color w:val="000000"/>
          <w:position w:val="0"/>
          <w:sz w:val="20"/>
          <w:u w:val="none"/>
          <w:vertAlign w:val="baseline"/>
        </w:rPr>
        <w:t xml:space="preserve">This standard also governs claims that appellate counsel was ineffective. To prevail on this claim, a movant must show that his appellate counsel's failure to raise certain issues or arguments on appeal was below the wide range of professionally competent assistance. </w:t>
      </w:r>
      <w:bookmarkStart w:id="104" w:name="Bookmark_I5MB142J2D6NVG0020000400"/>
      <w:bookmarkEnd w:id="104"/>
      <w:r>
        <w:rPr>
          <w:rFonts w:ascii="arial" w:eastAsia="arial" w:hAnsi="arial" w:cs="arial"/>
          <w:b w:val="0"/>
          <w:i w:val="0"/>
          <w:strike w:val="0"/>
          <w:noProof w:val="0"/>
          <w:color w:val="000000"/>
          <w:position w:val="0"/>
          <w:sz w:val="20"/>
          <w:u w:val="none"/>
          <w:vertAlign w:val="baseline"/>
        </w:rPr>
        <w:t>Showing ineffective assistance of appellate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counsel based on a failure to raise certain issues on appeal is difficult. To show prejudice, the movant must demonstrate a reasonable probability that had appellate counsel raised the issue or argument, it would have altered the outcome of the appeal. </w:t>
      </w:r>
      <w:bookmarkStart w:id="105" w:name="Bookmark_I5MB142J2D6NVG0010000400"/>
      <w:bookmarkEnd w:id="105"/>
      <w:hyperlink r:id="rId43" w:history="1">
        <w:r>
          <w:rPr>
            <w:rFonts w:ascii="arial" w:eastAsia="arial" w:hAnsi="arial" w:cs="arial"/>
            <w:b w:val="0"/>
            <w:i/>
            <w:strike w:val="0"/>
            <w:noProof w:val="0"/>
            <w:color w:val="0077CC"/>
            <w:position w:val="0"/>
            <w:sz w:val="20"/>
            <w:u w:val="single"/>
            <w:vertAlign w:val="baseline"/>
          </w:rPr>
          <w:t>Robbins</w:t>
        </w:r>
      </w:hyperlink>
      <w:hyperlink r:id="rId43" w:history="1">
        <w:r>
          <w:rPr>
            <w:rFonts w:ascii="arial" w:eastAsia="arial" w:hAnsi="arial" w:cs="arial"/>
            <w:b w:val="0"/>
            <w:i/>
            <w:strike w:val="0"/>
            <w:noProof w:val="0"/>
            <w:color w:val="0077CC"/>
            <w:position w:val="0"/>
            <w:sz w:val="20"/>
            <w:u w:val="single"/>
            <w:vertAlign w:val="baseline"/>
          </w:rPr>
          <w:t>, 528 U.S. at 285-86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Claims of Ineffective Assistance of Trial Counsel</w:t>
      </w:r>
    </w:p>
    <w:p>
      <w:pPr>
        <w:keepNext w:val="0"/>
        <w:spacing w:before="200" w:after="0" w:line="260" w:lineRule="atLeast"/>
        <w:ind w:left="0" w:right="0" w:firstLine="0"/>
        <w:jc w:val="both"/>
      </w:pPr>
      <w:bookmarkStart w:id="106" w:name="Bookmark_para_24"/>
      <w:bookmarkEnd w:id="106"/>
      <w:r>
        <w:rPr>
          <w:rFonts w:ascii="arial" w:eastAsia="arial" w:hAnsi="arial" w:cs="arial"/>
          <w:b w:val="0"/>
          <w:i w:val="0"/>
          <w:strike w:val="0"/>
          <w:noProof w:val="0"/>
          <w:color w:val="000000"/>
          <w:position w:val="0"/>
          <w:sz w:val="20"/>
          <w:u w:val="none"/>
          <w:vertAlign w:val="baseline"/>
        </w:rPr>
        <w:t>Avila claims that counsel's failure during trial to oppose the release of Samuel Lopez-Lopez and Juana Anacleta Gomez-Pascual and failure to compel their presence at trial was both deficient and prejudicial. He alleges that they would have given testimony that could have resulted in a different jury guilty verdict. But he pleads no facts to support his allegation that these smuggled aliens could have provided material exculpatory testimony on his behalf. Nor does he identify any facts in the memorandum he filed opposing the government's motion to dismiss. He offers no basis to support his argument that had these alleged victims not been released from detention and had been compelled to testify, they would have exculpated him in any way. To contrary, the record evidence is that both Lopez-Lopez and Gomez-Pascual gave statements to law enforcement that inculpated Avila in criminal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conduct and that were consistent with the testimony other aliens provided. Avila's unsupported allegation fails to show either deficiency or actual prejudice.</w:t>
      </w:r>
    </w:p>
    <w:p>
      <w:pPr>
        <w:keepNext w:val="0"/>
        <w:spacing w:before="240" w:after="0" w:line="260" w:lineRule="atLeast"/>
        <w:ind w:left="0" w:right="0" w:firstLine="0"/>
        <w:jc w:val="both"/>
      </w:pPr>
      <w:bookmarkStart w:id="107" w:name="Bookmark_para_25"/>
      <w:bookmarkEnd w:id="107"/>
      <w:r>
        <w:rPr>
          <w:rFonts w:ascii="arial" w:eastAsia="arial" w:hAnsi="arial" w:cs="arial"/>
          <w:b w:val="0"/>
          <w:i w:val="0"/>
          <w:strike w:val="0"/>
          <w:noProof w:val="0"/>
          <w:color w:val="000000"/>
          <w:position w:val="0"/>
          <w:sz w:val="20"/>
          <w:u w:val="none"/>
          <w:vertAlign w:val="baseline"/>
        </w:rPr>
        <w:t xml:space="preserve">Avila alleges that trial counsel was ineffective in failing to object to the aiding and abetting jury instructions because this offense was not specifically alleged in the indictment. </w:t>
      </w:r>
      <w:bookmarkStart w:id="108" w:name="Bookmark_I5MB142J2D6NVG0040000400"/>
      <w:bookmarkEnd w:id="108"/>
      <w:r>
        <w:rPr>
          <w:rFonts w:ascii="arial" w:eastAsia="arial" w:hAnsi="arial" w:cs="arial"/>
          <w:b w:val="0"/>
          <w:i w:val="0"/>
          <w:strike w:val="0"/>
          <w:noProof w:val="0"/>
          <w:color w:val="000000"/>
          <w:position w:val="0"/>
          <w:sz w:val="20"/>
          <w:u w:val="none"/>
          <w:vertAlign w:val="baseline"/>
        </w:rPr>
        <w:t xml:space="preserve">The applicable law undercuts this claim. An aiding and abetting instruction generally may be given even if the indictment does not specifically allege aiding and abetting, as long as the trial evidence supports an aiding and abetting conviction. </w:t>
      </w:r>
      <w:bookmarkStart w:id="109" w:name="Bookmark_I5MB142J28T3V50030000400"/>
      <w:bookmarkEnd w:id="109"/>
      <w:r>
        <w:rPr>
          <w:rFonts w:ascii="arial" w:eastAsia="arial" w:hAnsi="arial" w:cs="arial"/>
          <w:b w:val="0"/>
          <w:i/>
          <w:strike w:val="0"/>
          <w:noProof w:val="0"/>
          <w:color w:val="000000"/>
          <w:position w:val="0"/>
          <w:sz w:val="20"/>
          <w:u w:val="none"/>
          <w:vertAlign w:val="baseline"/>
        </w:rPr>
        <w:t xml:space="preserve">See </w:t>
      </w:r>
      <w:bookmarkStart w:id="110" w:name="Bookmark_I5MB142J2D6NVG0030000400"/>
      <w:bookmarkEnd w:id="110"/>
      <w:hyperlink r:id="rId44" w:history="1">
        <w:r>
          <w:rPr>
            <w:rFonts w:ascii="arial" w:eastAsia="arial" w:hAnsi="arial" w:cs="arial"/>
            <w:b w:val="0"/>
            <w:i/>
            <w:strike w:val="0"/>
            <w:noProof w:val="0"/>
            <w:color w:val="0077CC"/>
            <w:position w:val="0"/>
            <w:sz w:val="20"/>
            <w:u w:val="single"/>
            <w:vertAlign w:val="baseline"/>
          </w:rPr>
          <w:t>United States v. Botello</w:t>
        </w:r>
      </w:hyperlink>
      <w:hyperlink r:id="rId44" w:history="1">
        <w:r>
          <w:rPr>
            <w:rFonts w:ascii="arial" w:eastAsia="arial" w:hAnsi="arial" w:cs="arial"/>
            <w:b w:val="0"/>
            <w:i/>
            <w:strike w:val="0"/>
            <w:noProof w:val="0"/>
            <w:color w:val="0077CC"/>
            <w:position w:val="0"/>
            <w:sz w:val="20"/>
            <w:u w:val="single"/>
            <w:vertAlign w:val="baseline"/>
          </w:rPr>
          <w:t>, 991 F.2d 189 (5th Cir.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1" w:name="Bookmark_I5MB142J2D6NVG0050000400"/>
      <w:bookmarkEnd w:id="111"/>
      <w:hyperlink r:id="rId45" w:history="1">
        <w:r>
          <w:rPr>
            <w:rFonts w:ascii="arial" w:eastAsia="arial" w:hAnsi="arial" w:cs="arial"/>
            <w:b w:val="0"/>
            <w:i/>
            <w:strike w:val="0"/>
            <w:noProof w:val="0"/>
            <w:color w:val="0077CC"/>
            <w:position w:val="0"/>
            <w:sz w:val="20"/>
            <w:u w:val="single"/>
            <w:vertAlign w:val="baseline"/>
          </w:rPr>
          <w:t>United States v. Neal</w:t>
        </w:r>
      </w:hyperlink>
      <w:hyperlink r:id="rId45" w:history="1">
        <w:r>
          <w:rPr>
            <w:rFonts w:ascii="arial" w:eastAsia="arial" w:hAnsi="arial" w:cs="arial"/>
            <w:b w:val="0"/>
            <w:i/>
            <w:strike w:val="0"/>
            <w:noProof w:val="0"/>
            <w:color w:val="0077CC"/>
            <w:position w:val="0"/>
            <w:sz w:val="20"/>
            <w:u w:val="single"/>
            <w:vertAlign w:val="baseline"/>
          </w:rPr>
          <w:t>, 951 F.2d 630, 633 (5th Cir. 1992)</w:t>
        </w:r>
      </w:hyperlink>
      <w:r>
        <w:rPr>
          <w:rFonts w:ascii="arial" w:eastAsia="arial" w:hAnsi="arial" w:cs="arial"/>
          <w:b w:val="0"/>
          <w:i w:val="0"/>
          <w:strike w:val="0"/>
          <w:noProof w:val="0"/>
          <w:color w:val="000000"/>
          <w:position w:val="0"/>
          <w:sz w:val="20"/>
          <w:u w:val="none"/>
          <w:vertAlign w:val="baseline"/>
        </w:rPr>
        <w:t xml:space="preserve">. </w:t>
      </w:r>
      <w:bookmarkStart w:id="112" w:name="Bookmark_I5MB142J28T3V50030000400_2"/>
      <w:bookmarkEnd w:id="112"/>
      <w:r>
        <w:rPr>
          <w:rFonts w:ascii="arial" w:eastAsia="arial" w:hAnsi="arial" w:cs="arial"/>
          <w:b w:val="0"/>
          <w:i w:val="0"/>
          <w:strike w:val="0"/>
          <w:noProof w:val="0"/>
          <w:color w:val="000000"/>
          <w:position w:val="0"/>
          <w:sz w:val="20"/>
          <w:u w:val="none"/>
          <w:vertAlign w:val="baseline"/>
        </w:rPr>
        <w:t xml:space="preserve">Aiding and abetting is not a separate offense but instead an alternate charge in every indictment. </w:t>
      </w:r>
      <w:bookmarkStart w:id="113" w:name="Bookmark_I5MB142J28T3V50020000400"/>
      <w:bookmarkEnd w:id="113"/>
      <w:hyperlink r:id="rId45" w:history="1">
        <w:r>
          <w:rPr>
            <w:rFonts w:ascii="arial" w:eastAsia="arial" w:hAnsi="arial" w:cs="arial"/>
            <w:b w:val="0"/>
            <w:i/>
            <w:strike w:val="0"/>
            <w:noProof w:val="0"/>
            <w:color w:val="0077CC"/>
            <w:position w:val="0"/>
            <w:sz w:val="20"/>
            <w:u w:val="single"/>
            <w:vertAlign w:val="baseline"/>
          </w:rPr>
          <w:t>Neal</w:t>
        </w:r>
      </w:hyperlink>
      <w:hyperlink r:id="rId45" w:history="1">
        <w:r>
          <w:rPr>
            <w:rFonts w:ascii="arial" w:eastAsia="arial" w:hAnsi="arial" w:cs="arial"/>
            <w:b w:val="0"/>
            <w:i/>
            <w:strike w:val="0"/>
            <w:noProof w:val="0"/>
            <w:color w:val="0077CC"/>
            <w:position w:val="0"/>
            <w:sz w:val="20"/>
            <w:u w:val="single"/>
            <w:vertAlign w:val="baseline"/>
          </w:rPr>
          <w:t>, 951 F.2d at 633</w:t>
        </w:r>
      </w:hyperlink>
      <w:r>
        <w:rPr>
          <w:rFonts w:ascii="arial" w:eastAsia="arial" w:hAnsi="arial" w:cs="arial"/>
          <w:b w:val="0"/>
          <w:i w:val="0"/>
          <w:strike w:val="0"/>
          <w:noProof w:val="0"/>
          <w:color w:val="000000"/>
          <w:position w:val="0"/>
          <w:sz w:val="20"/>
          <w:u w:val="none"/>
          <w:vertAlign w:val="baseline"/>
        </w:rPr>
        <w:t>. Avila has neither alleged nor pointed to facts in his memorandum responding to the motion to dismiss supporting a finding that he was unfairly surprised by the aiding and abetting instruction. There is no basis to find or conclude that reasonably competent defense counsel would have objected or that had the objection been raised, it would have been sustained. This claim is dismissed for failure to show deficiency or prejudice.</w:t>
      </w:r>
    </w:p>
    <w:p>
      <w:pPr>
        <w:keepNext w:val="0"/>
        <w:spacing w:before="240" w:after="0" w:line="260" w:lineRule="atLeast"/>
        <w:ind w:left="0" w:right="0" w:firstLine="0"/>
        <w:jc w:val="both"/>
      </w:pPr>
      <w:bookmarkStart w:id="114" w:name="Bookmark_para_26"/>
      <w:bookmarkEnd w:id="114"/>
      <w:r>
        <w:rPr>
          <w:rFonts w:ascii="arial" w:eastAsia="arial" w:hAnsi="arial" w:cs="arial"/>
          <w:b w:val="0"/>
          <w:i w:val="0"/>
          <w:strike w:val="0"/>
          <w:noProof w:val="0"/>
          <w:color w:val="000000"/>
          <w:position w:val="0"/>
          <w:sz w:val="20"/>
          <w:u w:val="none"/>
          <w:vertAlign w:val="baseline"/>
        </w:rPr>
        <w:t>Avila alleges that his trial counsel's failure to object to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sufficiency of the evidence supporting the "use" element of the </w:t>
      </w:r>
      <w:hyperlink r:id="rId46"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firearm count was both deficient and prejudicial. The record undermines this claim as well. First, the record shows that defense counsel twice made an oral motion under </w:t>
      </w:r>
      <w:hyperlink r:id="rId47" w:history="1">
        <w:r>
          <w:rPr>
            <w:rFonts w:ascii="arial" w:eastAsia="arial" w:hAnsi="arial" w:cs="arial"/>
            <w:b w:val="0"/>
            <w:i/>
            <w:strike w:val="0"/>
            <w:noProof w:val="0"/>
            <w:color w:val="0077CC"/>
            <w:position w:val="0"/>
            <w:sz w:val="20"/>
            <w:u w:val="single"/>
            <w:vertAlign w:val="baseline"/>
          </w:rPr>
          <w:t>Rule 29 of the Federal Rules of Criminal Procedure</w:t>
        </w:r>
      </w:hyperlink>
      <w:r>
        <w:rPr>
          <w:rFonts w:ascii="arial" w:eastAsia="arial" w:hAnsi="arial" w:cs="arial"/>
          <w:b w:val="0"/>
          <w:i w:val="0"/>
          <w:strike w:val="0"/>
          <w:noProof w:val="0"/>
          <w:color w:val="000000"/>
          <w:position w:val="0"/>
          <w:sz w:val="20"/>
          <w:u w:val="none"/>
          <w:vertAlign w:val="baseline"/>
        </w:rPr>
        <w:t xml:space="preserve">, arguing that government had not met its burden to prove all of the elements of the alleged offenses. Second, any failure to object more specifically to the sufficiency of the evidence of use under </w:t>
      </w:r>
      <w:hyperlink r:id="rId46"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was neither deficient nor prejudicial. Medina, one of the aliens who testified against Avila at trial, testified not only that Avila had a gun, but that he used it in furtherance of the hostage-taking offenses. Medina testified that he was with Avila and other smuggled aliens in a vehicle with , Avila forced them to lie flat by holding his gun against them or pointing it directly at them and threatening to kill them if they raised their heads. At the house, he pointed the gun at them and warned that he would shoot them if they tried to run away or escape. The court stated in the sentencing hearing that</w:t>
      </w:r>
    </w:p>
    <w:p>
      <w:pPr>
        <w:keepNext w:val="0"/>
        <w:spacing w:before="200" w:after="0" w:line="260" w:lineRule="atLeast"/>
        <w:ind w:left="400" w:right="0" w:firstLine="0"/>
        <w:jc w:val="both"/>
      </w:pPr>
      <w:bookmarkStart w:id="115" w:name="Bookmark_para_27"/>
      <w:bookmarkEnd w:id="115"/>
      <w:r>
        <w:rPr>
          <w:rFonts w:ascii="arial" w:eastAsia="arial" w:hAnsi="arial" w:cs="arial"/>
          <w:b w:val="0"/>
          <w:i w:val="0"/>
          <w:strike w:val="0"/>
          <w:noProof w:val="0"/>
          <w:color w:val="000000"/>
          <w:position w:val="0"/>
          <w:sz w:val="20"/>
          <w:u w:val="none"/>
          <w:vertAlign w:val="baseline"/>
        </w:rPr>
        <w:t>the evidence at trial clearly showed that [Avila] possessed the firearm, that he would threaten to kill anyone who attempted to escape, and that he did indeed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display the firearm, made known its presence to others in order to intimidate those individuals. The material witnesses corroborated this information as well. The Court . . . finds that Mr. Avila did indeed brandish the firearm during and in relation to the crime of violence and the guideline enhancement was appropriately imposed.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(Docket Entry No. 102, pp. 5.)</w:t>
      </w:r>
    </w:p>
    <w:p>
      <w:pPr>
        <w:keepNext w:val="0"/>
        <w:spacing w:before="200" w:after="0" w:line="260" w:lineRule="atLeast"/>
        <w:ind w:left="0" w:right="0" w:firstLine="0"/>
        <w:jc w:val="both"/>
      </w:pPr>
      <w:bookmarkStart w:id="116" w:name="Bookmark_para_28"/>
      <w:bookmarkEnd w:id="116"/>
      <w:bookmarkStart w:id="117" w:name="Bookmark_I069W27S2K1000RDP0700004"/>
      <w:bookmarkEnd w:id="117"/>
      <w:bookmarkStart w:id="118" w:name="Bookmark_I5MB142J28T3V50050000400"/>
      <w:bookmarkEnd w:id="118"/>
      <w:bookmarkStart w:id="119" w:name="Bookmark_I5MB142J2D6NVH0020000400"/>
      <w:bookmarkEnd w:id="119"/>
      <w:r>
        <w:rPr>
          <w:rFonts w:ascii="arial" w:eastAsia="arial" w:hAnsi="arial" w:cs="arial"/>
          <w:b w:val="0"/>
          <w:i w:val="0"/>
          <w:strike w:val="0"/>
          <w:noProof w:val="0"/>
          <w:color w:val="000000"/>
          <w:position w:val="0"/>
          <w:sz w:val="20"/>
          <w:u w:val="none"/>
          <w:vertAlign w:val="baseline"/>
        </w:rPr>
        <w:t xml:space="preserve">To sustain a conviction under the "use" prong of </w:t>
      </w:r>
      <w:hyperlink r:id="rId46" w:history="1">
        <w:r>
          <w:rPr>
            <w:rFonts w:ascii="arial" w:eastAsia="arial" w:hAnsi="arial" w:cs="arial"/>
            <w:b w:val="0"/>
            <w:i/>
            <w:strike w:val="0"/>
            <w:noProof w:val="0"/>
            <w:color w:val="0077CC"/>
            <w:position w:val="0"/>
            <w:sz w:val="20"/>
            <w:u w:val="single"/>
            <w:vertAlign w:val="baseline"/>
          </w:rPr>
          <w:t>§ 924(c)(1)</w:t>
        </w:r>
      </w:hyperlink>
      <w:r>
        <w:rPr>
          <w:rFonts w:ascii="arial" w:eastAsia="arial" w:hAnsi="arial" w:cs="arial"/>
          <w:b w:val="0"/>
          <w:i w:val="0"/>
          <w:strike w:val="0"/>
          <w:noProof w:val="0"/>
          <w:color w:val="000000"/>
          <w:position w:val="0"/>
          <w:sz w:val="20"/>
          <w:u w:val="none"/>
          <w:vertAlign w:val="baseline"/>
        </w:rPr>
        <w:t xml:space="preserve">, the government "must show that the defendant actively employed the firearm during and in relation to the predicate crime." </w:t>
      </w:r>
      <w:bookmarkStart w:id="120" w:name="Bookmark_I5MB142J28T3V50040000400"/>
      <w:bookmarkEnd w:id="120"/>
      <w:hyperlink r:id="rId48" w:history="1">
        <w:r>
          <w:rPr>
            <w:rFonts w:ascii="arial" w:eastAsia="arial" w:hAnsi="arial" w:cs="arial"/>
            <w:b w:val="0"/>
            <w:i/>
            <w:strike w:val="0"/>
            <w:noProof w:val="0"/>
            <w:color w:val="0077CC"/>
            <w:position w:val="0"/>
            <w:sz w:val="20"/>
            <w:u w:val="single"/>
            <w:vertAlign w:val="baseline"/>
          </w:rPr>
          <w:t>Bailey v. United States</w:t>
        </w:r>
      </w:hyperlink>
      <w:hyperlink r:id="rId48" w:history="1">
        <w:r>
          <w:rPr>
            <w:rFonts w:ascii="arial" w:eastAsia="arial" w:hAnsi="arial" w:cs="arial"/>
            <w:b w:val="0"/>
            <w:i/>
            <w:strike w:val="0"/>
            <w:noProof w:val="0"/>
            <w:color w:val="0077CC"/>
            <w:position w:val="0"/>
            <w:sz w:val="20"/>
            <w:u w:val="single"/>
            <w:vertAlign w:val="baseline"/>
          </w:rPr>
          <w:t>, 516 U.S. 137, 144, 116 S. Ct. 501, 133 L. Ed. 2d 472 (1995)</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Bailey</w:t>
      </w:r>
      <w:r>
        <w:rPr>
          <w:rFonts w:ascii="arial" w:eastAsia="arial" w:hAnsi="arial" w:cs="arial"/>
          <w:b w:val="0"/>
          <w:i w:val="0"/>
          <w:strike w:val="0"/>
          <w:noProof w:val="0"/>
          <w:color w:val="000000"/>
          <w:position w:val="0"/>
          <w:sz w:val="20"/>
          <w:u w:val="none"/>
          <w:vertAlign w:val="baseline"/>
        </w:rPr>
        <w:t xml:space="preserve">, the Court made clear that "[t]he active-employment understanding of 'use' certainly includes brandishing, displaying, bartering, striking with, and, most obviously, firing or attempting to fire a firearm." The Court noted "that this reading compels the conclusion that even an offender's reference to a firearm in his possession could satisfy </w:t>
      </w:r>
      <w:hyperlink r:id="rId46" w:history="1">
        <w:r>
          <w:rPr>
            <w:rFonts w:ascii="arial" w:eastAsia="arial" w:hAnsi="arial" w:cs="arial"/>
            <w:b w:val="0"/>
            <w:i/>
            <w:strike w:val="0"/>
            <w:noProof w:val="0"/>
            <w:color w:val="0077CC"/>
            <w:position w:val="0"/>
            <w:sz w:val="20"/>
            <w:u w:val="single"/>
            <w:vertAlign w:val="baseline"/>
          </w:rPr>
          <w:t>§ 924(c)(1)</w:t>
        </w:r>
      </w:hyperlink>
      <w:r>
        <w:rPr>
          <w:rFonts w:ascii="arial" w:eastAsia="arial" w:hAnsi="arial" w:cs="arial"/>
          <w:b w:val="0"/>
          <w:i w:val="0"/>
          <w:strike w:val="0"/>
          <w:noProof w:val="0"/>
          <w:color w:val="000000"/>
          <w:position w:val="0"/>
          <w:sz w:val="20"/>
          <w:u w:val="none"/>
          <w:vertAlign w:val="baseline"/>
        </w:rPr>
        <w:t xml:space="preserve">. Thus, a reference to a firearm calculated to bring about a change in the circumstances of the predicate offense is a 'use,' just as the silent but obvious and forceful presence of a gun on a table can be a 'use.'" </w:t>
      </w:r>
      <w:bookmarkStart w:id="121" w:name="Bookmark_I5MB142J2D6NVH0010000400"/>
      <w:bookmarkEnd w:id="121"/>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148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There was ample evidence showing that Avila used his firearm during and in relation to the predicate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crimes of hostage taking and conspiracy. There was no basis to find that failing to object to the sufficiency of the evidence as to the was deficient or that had the objection been raised, it would have been granted. The record shows that, to the contrary, the objection would have been frivolous. Counsel was not deficient in failing to raise deficient objections, and the failure cannot be the basis to find prejudice.</w:t>
      </w:r>
    </w:p>
    <w:p>
      <w:pPr>
        <w:keepNext w:val="0"/>
        <w:spacing w:before="240" w:after="0" w:line="260" w:lineRule="atLeast"/>
        <w:ind w:left="0" w:right="0" w:firstLine="0"/>
        <w:jc w:val="both"/>
      </w:pPr>
      <w:bookmarkStart w:id="122" w:name="Bookmark_para_29"/>
      <w:bookmarkEnd w:id="122"/>
      <w:bookmarkStart w:id="123" w:name="Bookmark_I069W27SRPR000RDP0700007"/>
      <w:bookmarkEnd w:id="123"/>
      <w:bookmarkStart w:id="124" w:name="Bookmark_I5WPCJJC2D6N8M0020000400"/>
      <w:bookmarkEnd w:id="124"/>
      <w:r>
        <w:rPr>
          <w:rFonts w:ascii="arial" w:eastAsia="arial" w:hAnsi="arial" w:cs="arial"/>
          <w:b w:val="0"/>
          <w:i w:val="0"/>
          <w:strike w:val="0"/>
          <w:noProof w:val="0"/>
          <w:color w:val="000000"/>
          <w:position w:val="0"/>
          <w:sz w:val="20"/>
          <w:u w:val="none"/>
          <w:vertAlign w:val="baseline"/>
        </w:rPr>
        <w:t xml:space="preserve">Finally, Avila's allegations that his appellate counsel was ineffective for failing to raise these same issues on appeal lack merit for the reasons that precluded them from providing a basis to show either deficient or prejudicial assistance of counsel at trial. Because appellate counsel cannot be faulted for failing to press weak or frivolous arguments on appeal, and the failure to do so is not likely to change the outcome of the appeal, there is no basis to find a </w:t>
      </w:r>
      <w:bookmarkStart w:id="125" w:name="Bookmark_I5WPCJJC2D6N8M0010000400"/>
      <w:bookmarkEnd w:id="125"/>
      <w:hyperlink r:id="rId38" w:history="1">
        <w:r>
          <w:rPr>
            <w:rFonts w:ascii="arial" w:eastAsia="arial" w:hAnsi="arial" w:cs="arial"/>
            <w:b w:val="0"/>
            <w:i/>
            <w:strike w:val="0"/>
            <w:noProof w:val="0"/>
            <w:color w:val="0077CC"/>
            <w:position w:val="0"/>
            <w:sz w:val="20"/>
            <w:u w:val="single"/>
            <w:vertAlign w:val="baseline"/>
          </w:rPr>
          <w:t>Strickland</w:t>
        </w:r>
      </w:hyperlink>
      <w:hyperlink r:id="rId38"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violation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40" w:after="0" w:line="260" w:lineRule="atLeast"/>
        <w:ind w:left="0" w:right="0" w:firstLine="0"/>
        <w:jc w:val="both"/>
      </w:pPr>
      <w:bookmarkStart w:id="126" w:name="Bookmark_para_30"/>
      <w:bookmarkEnd w:id="126"/>
      <w:bookmarkStart w:id="127" w:name="Bookmark_I5MB142J2D6NVH0040000400"/>
      <w:bookmarkEnd w:id="127"/>
      <w:r>
        <w:rPr>
          <w:rFonts w:ascii="arial" w:eastAsia="arial" w:hAnsi="arial" w:cs="arial"/>
          <w:b w:val="0"/>
          <w:i w:val="0"/>
          <w:strike w:val="0"/>
          <w:noProof w:val="0"/>
          <w:color w:val="000000"/>
          <w:position w:val="0"/>
          <w:sz w:val="20"/>
          <w:u w:val="none"/>
          <w:vertAlign w:val="baseline"/>
        </w:rPr>
        <w:t xml:space="preserve">No evidentiary hearing is required here because the court can resolve the allegations based on the record evidence. </w:t>
      </w:r>
      <w:r>
        <w:rPr>
          <w:rFonts w:ascii="arial" w:eastAsia="arial" w:hAnsi="arial" w:cs="arial"/>
          <w:b w:val="0"/>
          <w:i/>
          <w:strike w:val="0"/>
          <w:noProof w:val="0"/>
          <w:color w:val="000000"/>
          <w:position w:val="0"/>
          <w:sz w:val="20"/>
          <w:u w:val="none"/>
          <w:vertAlign w:val="baseline"/>
        </w:rPr>
        <w:t xml:space="preserve">See </w:t>
      </w:r>
      <w:bookmarkStart w:id="128" w:name="Bookmark_I5MB142J2D6NVH0030000400"/>
      <w:bookmarkEnd w:id="128"/>
      <w:hyperlink r:id="rId49" w:history="1">
        <w:r>
          <w:rPr>
            <w:rFonts w:ascii="arial" w:eastAsia="arial" w:hAnsi="arial" w:cs="arial"/>
            <w:b w:val="0"/>
            <w:i/>
            <w:strike w:val="0"/>
            <w:noProof w:val="0"/>
            <w:color w:val="0077CC"/>
            <w:position w:val="0"/>
            <w:sz w:val="20"/>
            <w:u w:val="single"/>
            <w:vertAlign w:val="baseline"/>
          </w:rPr>
          <w:t>United States v. Smith</w:t>
        </w:r>
      </w:hyperlink>
      <w:hyperlink r:id="rId49" w:history="1">
        <w:r>
          <w:rPr>
            <w:rFonts w:ascii="arial" w:eastAsia="arial" w:hAnsi="arial" w:cs="arial"/>
            <w:b w:val="0"/>
            <w:i/>
            <w:strike w:val="0"/>
            <w:noProof w:val="0"/>
            <w:color w:val="0077CC"/>
            <w:position w:val="0"/>
            <w:sz w:val="20"/>
            <w:u w:val="single"/>
            <w:vertAlign w:val="baseline"/>
          </w:rPr>
          <w:t>, 915 F.2d 959, 964 (5th Cir. 1990)</w:t>
        </w:r>
      </w:hyperlink>
      <w:r>
        <w:rPr>
          <w:rFonts w:ascii="arial" w:eastAsia="arial" w:hAnsi="arial" w:cs="arial"/>
          <w:b w:val="0"/>
          <w:i w:val="0"/>
          <w:strike w:val="0"/>
          <w:noProof w:val="0"/>
          <w:color w:val="000000"/>
          <w:position w:val="0"/>
          <w:sz w:val="20"/>
          <w:u w:val="none"/>
          <w:vertAlign w:val="baseline"/>
        </w:rPr>
        <w:t xml:space="preserve">. </w:t>
      </w:r>
      <w:bookmarkStart w:id="129" w:name="Bookmark_I5MB142J28T3V60010000400"/>
      <w:bookmarkEnd w:id="129"/>
      <w:r>
        <w:rPr>
          <w:rFonts w:ascii="arial" w:eastAsia="arial" w:hAnsi="arial" w:cs="arial"/>
          <w:b w:val="0"/>
          <w:i w:val="0"/>
          <w:strike w:val="0"/>
          <w:noProof w:val="0"/>
          <w:color w:val="000000"/>
          <w:position w:val="0"/>
          <w:sz w:val="20"/>
          <w:u w:val="none"/>
          <w:vertAlign w:val="baseline"/>
        </w:rPr>
        <w:t xml:space="preserve">The record also makes it inappropriate to issue a certificate of appealability. </w:t>
      </w:r>
      <w:bookmarkStart w:id="130" w:name="Bookmark_I5MB142J28T3V60010000400_2"/>
      <w:bookmarkEnd w:id="130"/>
      <w:bookmarkStart w:id="131" w:name="Bookmark_I069W27S8YK000RDP0700005"/>
      <w:bookmarkEnd w:id="131"/>
      <w:bookmarkStart w:id="132" w:name="Bookmark_I5MB142J28T3V60030000400"/>
      <w:bookmarkEnd w:id="132"/>
      <w:r>
        <w:rPr>
          <w:rFonts w:ascii="arial" w:eastAsia="arial" w:hAnsi="arial" w:cs="arial"/>
          <w:b w:val="0"/>
          <w:i w:val="0"/>
          <w:strike w:val="0"/>
          <w:noProof w:val="0"/>
          <w:color w:val="000000"/>
          <w:position w:val="0"/>
          <w:sz w:val="20"/>
          <w:u w:val="none"/>
          <w:vertAlign w:val="baseline"/>
        </w:rPr>
        <w:t>A certificate of appealability will be granted only if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petitioner makes "a substantial showing of the denial of a constitutional right." </w:t>
      </w:r>
      <w:hyperlink r:id="rId50"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To make such a showing, a petitioner "must demonstrate that the issues are debatable among jurists of reason; that a court could resolve the issues [in a different manner]; or that the questions are adequate to deserve encouragement to proceed further." </w:t>
      </w:r>
      <w:bookmarkStart w:id="133" w:name="Bookmark_I5MB142J2D6NVH0050000400"/>
      <w:bookmarkEnd w:id="133"/>
      <w:hyperlink r:id="rId51" w:history="1">
        <w:r>
          <w:rPr>
            <w:rFonts w:ascii="arial" w:eastAsia="arial" w:hAnsi="arial" w:cs="arial"/>
            <w:b w:val="0"/>
            <w:i/>
            <w:strike w:val="0"/>
            <w:noProof w:val="0"/>
            <w:color w:val="0077CC"/>
            <w:position w:val="0"/>
            <w:sz w:val="20"/>
            <w:u w:val="single"/>
            <w:vertAlign w:val="baseline"/>
          </w:rPr>
          <w:t>Barefoot v. Estelle</w:t>
        </w:r>
      </w:hyperlink>
      <w:hyperlink r:id="rId51" w:history="1">
        <w:r>
          <w:rPr>
            <w:rFonts w:ascii="arial" w:eastAsia="arial" w:hAnsi="arial" w:cs="arial"/>
            <w:b w:val="0"/>
            <w:i/>
            <w:strike w:val="0"/>
            <w:noProof w:val="0"/>
            <w:color w:val="0077CC"/>
            <w:position w:val="0"/>
            <w:sz w:val="20"/>
            <w:u w:val="single"/>
            <w:vertAlign w:val="baseline"/>
          </w:rPr>
          <w:t>, 463 U.S. 880, 893 n.4, 103 S. Ct. 3383, 77 L. Ed. 2d 1090 (1983)</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w:t>
      </w:r>
      <w:bookmarkStart w:id="134" w:name="Bookmark_I5MB142J28T3V60030000400_2"/>
      <w:bookmarkEnd w:id="134"/>
      <w:bookmarkStart w:id="135" w:name="Bookmark_I5MB142J28T3V60050000400"/>
      <w:bookmarkEnd w:id="135"/>
      <w:r>
        <w:rPr>
          <w:rFonts w:ascii="arial" w:eastAsia="arial" w:hAnsi="arial" w:cs="arial"/>
          <w:b w:val="0"/>
          <w:i w:val="0"/>
          <w:strike w:val="0"/>
          <w:noProof w:val="0"/>
          <w:color w:val="000000"/>
          <w:position w:val="0"/>
          <w:sz w:val="20"/>
          <w:u w:val="none"/>
          <w:vertAlign w:val="baseline"/>
        </w:rPr>
        <w:t xml:space="preserve">"The petitioner must demonstrate that reasonable jurists would find the district court's assessment of the constitutional claims debatable or wrong." </w:t>
      </w:r>
      <w:bookmarkStart w:id="136" w:name="Bookmark_I5MB142J28T3V60020000400"/>
      <w:bookmarkEnd w:id="136"/>
      <w:hyperlink r:id="rId52" w:history="1">
        <w:r>
          <w:rPr>
            <w:rFonts w:ascii="arial" w:eastAsia="arial" w:hAnsi="arial" w:cs="arial"/>
            <w:b w:val="0"/>
            <w:i/>
            <w:strike w:val="0"/>
            <w:noProof w:val="0"/>
            <w:color w:val="0077CC"/>
            <w:position w:val="0"/>
            <w:sz w:val="20"/>
            <w:u w:val="single"/>
            <w:vertAlign w:val="baseline"/>
          </w:rPr>
          <w:t>Slack v. McDaniel</w:t>
        </w:r>
      </w:hyperlink>
      <w:hyperlink r:id="rId52" w:history="1">
        <w:r>
          <w:rPr>
            <w:rFonts w:ascii="arial" w:eastAsia="arial" w:hAnsi="arial" w:cs="arial"/>
            <w:b w:val="0"/>
            <w:i/>
            <w:strike w:val="0"/>
            <w:noProof w:val="0"/>
            <w:color w:val="0077CC"/>
            <w:position w:val="0"/>
            <w:sz w:val="20"/>
            <w:u w:val="single"/>
            <w:vertAlign w:val="baseline"/>
          </w:rPr>
          <w:t>, 529 U.S. 473, 484, 120 S. Ct. 1595, 146 L. Ed. 2d 542</w:t>
        </w:r>
      </w:hyperlink>
      <w:r>
        <w:rPr>
          <w:rFonts w:ascii="arial" w:eastAsia="arial" w:hAnsi="arial" w:cs="arial"/>
          <w:b w:val="0"/>
          <w:i w:val="0"/>
          <w:strike w:val="0"/>
          <w:noProof w:val="0"/>
          <w:color w:val="000000"/>
          <w:position w:val="0"/>
          <w:sz w:val="20"/>
          <w:u w:val="none"/>
          <w:vertAlign w:val="baseline"/>
        </w:rPr>
        <w:t xml:space="preserve">. </w:t>
      </w:r>
      <w:bookmarkStart w:id="137" w:name="Bookmark_I5MB142J28T3V60050000400_2"/>
      <w:bookmarkEnd w:id="137"/>
      <w:r>
        <w:rPr>
          <w:rFonts w:ascii="arial" w:eastAsia="arial" w:hAnsi="arial" w:cs="arial"/>
          <w:b w:val="0"/>
          <w:i w:val="0"/>
          <w:strike w:val="0"/>
          <w:noProof w:val="0"/>
          <w:color w:val="000000"/>
          <w:position w:val="0"/>
          <w:sz w:val="20"/>
          <w:u w:val="none"/>
          <w:vertAlign w:val="baseline"/>
        </w:rPr>
        <w:t xml:space="preserve">A district court may deny a certificate of appealability on its own, without requiring further briefing or argument. </w:t>
      </w:r>
      <w:bookmarkStart w:id="138" w:name="Bookmark_I5MB142J28T3V60040000400"/>
      <w:bookmarkEnd w:id="138"/>
      <w:hyperlink r:id="rId53" w:history="1">
        <w:r>
          <w:rPr>
            <w:rFonts w:ascii="arial" w:eastAsia="arial" w:hAnsi="arial" w:cs="arial"/>
            <w:b w:val="0"/>
            <w:i/>
            <w:strike w:val="0"/>
            <w:noProof w:val="0"/>
            <w:color w:val="0077CC"/>
            <w:position w:val="0"/>
            <w:sz w:val="20"/>
            <w:u w:val="single"/>
            <w:vertAlign w:val="baseline"/>
          </w:rPr>
          <w:t>Alexander v. Johnson</w:t>
        </w:r>
      </w:hyperlink>
      <w:hyperlink r:id="rId53" w:history="1">
        <w:r>
          <w:rPr>
            <w:rFonts w:ascii="arial" w:eastAsia="arial" w:hAnsi="arial" w:cs="arial"/>
            <w:b w:val="0"/>
            <w:i/>
            <w:strike w:val="0"/>
            <w:noProof w:val="0"/>
            <w:color w:val="0077CC"/>
            <w:position w:val="0"/>
            <w:sz w:val="20"/>
            <w:u w:val="single"/>
            <w:vertAlign w:val="baseline"/>
          </w:rPr>
          <w:t>, 211 F.3d 895, 898 (5th Cir. 2000)</w:t>
        </w:r>
      </w:hyperlink>
      <w:r>
        <w:rPr>
          <w:rFonts w:ascii="arial" w:eastAsia="arial" w:hAnsi="arial" w:cs="arial"/>
          <w:b w:val="0"/>
          <w:i w:val="0"/>
          <w:strike w:val="0"/>
          <w:noProof w:val="0"/>
          <w:color w:val="000000"/>
          <w:position w:val="0"/>
          <w:sz w:val="20"/>
          <w:u w:val="none"/>
          <w:vertAlign w:val="baseline"/>
        </w:rPr>
        <w:t>. Because Avila has not made a substantial showing of the denial of a constitutional right, a certificate of appealability is not issued.</w:t>
      </w:r>
    </w:p>
    <w:p>
      <w:pPr>
        <w:keepNext w:val="0"/>
        <w:spacing w:before="240" w:after="0" w:line="260" w:lineRule="atLeast"/>
        <w:ind w:left="0" w:right="0" w:firstLine="0"/>
        <w:jc w:val="both"/>
      </w:pPr>
      <w:bookmarkStart w:id="139" w:name="Bookmark_para_31"/>
      <w:bookmarkEnd w:id="139"/>
      <w:r>
        <w:rPr>
          <w:rFonts w:ascii="arial" w:eastAsia="arial" w:hAnsi="arial" w:cs="arial"/>
          <w:b w:val="0"/>
          <w:i w:val="0"/>
          <w:strike w:val="0"/>
          <w:noProof w:val="0"/>
          <w:color w:val="000000"/>
          <w:position w:val="0"/>
          <w:sz w:val="20"/>
          <w:u w:val="none"/>
          <w:vertAlign w:val="baseline"/>
        </w:rPr>
        <w:t xml:space="preserve">The government's motion to dismiss is granted. Avila's motion for relief under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denied, and the government's motion to dismiss is granted, in both 11-cr-655 and 15-cv-606. Final judgment dismissing the civil case with prejudice is entered by separate order in 15-cv-606.</w:t>
      </w:r>
    </w:p>
    <w:p>
      <w:pPr>
        <w:keepNext w:val="0"/>
        <w:spacing w:before="200" w:after="0" w:line="260" w:lineRule="atLeast"/>
        <w:ind w:left="0" w:right="0" w:firstLine="0"/>
        <w:jc w:val="both"/>
      </w:pPr>
      <w:bookmarkStart w:id="140" w:name="Bookmark_para_32"/>
      <w:bookmarkEnd w:id="140"/>
      <w:r>
        <w:rPr>
          <w:rFonts w:ascii="arial" w:eastAsia="arial" w:hAnsi="arial" w:cs="arial"/>
          <w:b w:val="0"/>
          <w:i w:val="0"/>
          <w:strike w:val="0"/>
          <w:noProof w:val="0"/>
          <w:color w:val="000000"/>
          <w:position w:val="0"/>
          <w:sz w:val="20"/>
          <w:u w:val="none"/>
          <w:vertAlign w:val="baseline"/>
        </w:rPr>
        <w:t>SIGNED on December 30, 2015, at Houston, Texas.</w:t>
      </w:r>
    </w:p>
    <w:p>
      <w:pPr>
        <w:keepNext w:val="0"/>
        <w:spacing w:before="200" w:after="0" w:line="260" w:lineRule="atLeast"/>
        <w:ind w:left="0" w:right="0" w:firstLine="0"/>
        <w:jc w:val="both"/>
      </w:pPr>
      <w:bookmarkStart w:id="141" w:name="Bookmark_para_33"/>
      <w:bookmarkEnd w:id="141"/>
      <w:r>
        <w:rPr>
          <w:rFonts w:ascii="arial" w:eastAsia="arial" w:hAnsi="arial" w:cs="arial"/>
          <w:b w:val="0"/>
          <w:i w:val="0"/>
          <w:strike w:val="0"/>
          <w:noProof w:val="0"/>
          <w:color w:val="000000"/>
          <w:position w:val="0"/>
          <w:sz w:val="20"/>
          <w:u w:val="none"/>
          <w:vertAlign w:val="baseline"/>
        </w:rPr>
        <w:t>/s/ Lee H. Rosenthal</w:t>
      </w:r>
    </w:p>
    <w:p>
      <w:pPr>
        <w:keepNext w:val="0"/>
        <w:spacing w:before="200" w:after="0" w:line="260" w:lineRule="atLeast"/>
        <w:ind w:left="0" w:right="0" w:firstLine="0"/>
        <w:jc w:val="both"/>
      </w:pPr>
      <w:bookmarkStart w:id="142" w:name="Bookmark_para_34"/>
      <w:bookmarkEnd w:id="142"/>
      <w:r>
        <w:rPr>
          <w:rFonts w:ascii="arial" w:eastAsia="arial" w:hAnsi="arial" w:cs="arial"/>
          <w:b w:val="0"/>
          <w:i w:val="0"/>
          <w:strike w:val="0"/>
          <w:noProof w:val="0"/>
          <w:color w:val="000000"/>
          <w:position w:val="0"/>
          <w:sz w:val="20"/>
          <w:u w:val="none"/>
          <w:vertAlign w:val="baseline"/>
        </w:rPr>
        <w:t>Lee H. Rosenthal</w:t>
      </w:r>
    </w:p>
    <w:p>
      <w:pPr>
        <w:keepNext w:val="0"/>
        <w:spacing w:before="200" w:after="0" w:line="260" w:lineRule="atLeast"/>
        <w:ind w:left="0" w:right="0" w:firstLine="0"/>
        <w:jc w:val="both"/>
      </w:pPr>
      <w:bookmarkStart w:id="143" w:name="Bookmark_para_35"/>
      <w:bookmarkEnd w:id="143"/>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AND FINAL JUDGMENT</w:t>
      </w:r>
      <w:r>
        <w:rPr>
          <w:rFonts w:ascii="arial" w:eastAsia="arial" w:hAnsi="arial" w:cs="arial"/>
          <w:b/>
          <w:i w:val="0"/>
          <w:strike w:val="0"/>
          <w:noProof w:val="0"/>
          <w:color w:val="000000"/>
          <w:position w:val="0"/>
          <w:sz w:val="20"/>
          <w:u w:val="none"/>
          <w:vertAlign w:val="baseline"/>
        </w:rPr>
        <w:t> [*18] </w:t>
      </w:r>
    </w:p>
    <w:p>
      <w:pPr>
        <w:keepNext w:val="0"/>
        <w:spacing w:before="240" w:after="0" w:line="260" w:lineRule="atLeast"/>
        <w:ind w:left="0" w:right="0" w:firstLine="0"/>
        <w:jc w:val="both"/>
      </w:pPr>
      <w:bookmarkStart w:id="144" w:name="Bookmark_para_36"/>
      <w:bookmarkEnd w:id="144"/>
      <w:r>
        <w:rPr>
          <w:rFonts w:ascii="arial" w:eastAsia="arial" w:hAnsi="arial" w:cs="arial"/>
          <w:b w:val="0"/>
          <w:i w:val="0"/>
          <w:strike w:val="0"/>
          <w:noProof w:val="0"/>
          <w:color w:val="000000"/>
          <w:position w:val="0"/>
          <w:sz w:val="20"/>
          <w:u w:val="none"/>
          <w:vertAlign w:val="baseline"/>
        </w:rPr>
        <w:t xml:space="preserve">For the reasons stated in this court's Memorandum and Order entered this date, the motion for relief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denied, and the government's motion to dismiss is granted, in both Criminal Action No. 11-655 and Civil Action No. 15-606. Civil Action No. 15-606 is dismissed with prejudice.</w:t>
      </w:r>
    </w:p>
    <w:p>
      <w:pPr>
        <w:keepNext w:val="0"/>
        <w:spacing w:before="200" w:after="0" w:line="260" w:lineRule="atLeast"/>
        <w:ind w:left="0" w:right="0" w:firstLine="0"/>
        <w:jc w:val="both"/>
      </w:pPr>
      <w:bookmarkStart w:id="145" w:name="Bookmark_para_37"/>
      <w:bookmarkEnd w:id="145"/>
      <w:r>
        <w:rPr>
          <w:rFonts w:ascii="arial" w:eastAsia="arial" w:hAnsi="arial" w:cs="arial"/>
          <w:b w:val="0"/>
          <w:i w:val="0"/>
          <w:strike w:val="0"/>
          <w:noProof w:val="0"/>
          <w:color w:val="000000"/>
          <w:position w:val="0"/>
          <w:sz w:val="20"/>
          <w:u w:val="none"/>
          <w:vertAlign w:val="baseline"/>
        </w:rPr>
        <w:t>This is a final judgment.</w:t>
      </w:r>
    </w:p>
    <w:p>
      <w:pPr>
        <w:keepNext w:val="0"/>
        <w:spacing w:before="200" w:after="0" w:line="260" w:lineRule="atLeast"/>
        <w:ind w:left="0" w:right="0" w:firstLine="0"/>
        <w:jc w:val="both"/>
      </w:pPr>
      <w:bookmarkStart w:id="146" w:name="Bookmark_para_38"/>
      <w:bookmarkEnd w:id="146"/>
      <w:r>
        <w:rPr>
          <w:rFonts w:ascii="arial" w:eastAsia="arial" w:hAnsi="arial" w:cs="arial"/>
          <w:b w:val="0"/>
          <w:i w:val="0"/>
          <w:strike w:val="0"/>
          <w:noProof w:val="0"/>
          <w:color w:val="000000"/>
          <w:position w:val="0"/>
          <w:sz w:val="20"/>
          <w:u w:val="none"/>
          <w:vertAlign w:val="baseline"/>
        </w:rPr>
        <w:t>SIGNED on December 30, 2015, at Houston, Texas.</w:t>
      </w:r>
    </w:p>
    <w:p>
      <w:pPr>
        <w:keepNext w:val="0"/>
        <w:spacing w:before="200" w:after="0" w:line="260" w:lineRule="atLeast"/>
        <w:ind w:left="0" w:right="0" w:firstLine="0"/>
        <w:jc w:val="both"/>
      </w:pPr>
      <w:bookmarkStart w:id="147" w:name="Bookmark_para_39"/>
      <w:bookmarkEnd w:id="147"/>
      <w:r>
        <w:rPr>
          <w:rFonts w:ascii="arial" w:eastAsia="arial" w:hAnsi="arial" w:cs="arial"/>
          <w:b w:val="0"/>
          <w:i w:val="0"/>
          <w:strike w:val="0"/>
          <w:noProof w:val="0"/>
          <w:color w:val="000000"/>
          <w:position w:val="0"/>
          <w:sz w:val="20"/>
          <w:u w:val="none"/>
          <w:vertAlign w:val="baseline"/>
        </w:rPr>
        <w:t>/s/ Lee H. Rosenthal</w:t>
      </w:r>
    </w:p>
    <w:p>
      <w:pPr>
        <w:keepNext w:val="0"/>
        <w:spacing w:before="200" w:after="0" w:line="260" w:lineRule="atLeast"/>
        <w:ind w:left="0" w:right="0" w:firstLine="0"/>
        <w:jc w:val="both"/>
      </w:pPr>
      <w:bookmarkStart w:id="148" w:name="Bookmark_para_40"/>
      <w:bookmarkEnd w:id="148"/>
      <w:r>
        <w:rPr>
          <w:rFonts w:ascii="arial" w:eastAsia="arial" w:hAnsi="arial" w:cs="arial"/>
          <w:b w:val="0"/>
          <w:i w:val="0"/>
          <w:strike w:val="0"/>
          <w:noProof w:val="0"/>
          <w:color w:val="000000"/>
          <w:position w:val="0"/>
          <w:sz w:val="20"/>
          <w:u w:val="none"/>
          <w:vertAlign w:val="baseline"/>
        </w:rPr>
        <w:t>Lee H. Rosenthal</w:t>
      </w:r>
    </w:p>
    <w:p>
      <w:pPr>
        <w:keepNext w:val="0"/>
        <w:spacing w:before="200" w:after="0" w:line="260" w:lineRule="atLeast"/>
        <w:ind w:left="0" w:right="0" w:firstLine="0"/>
        <w:jc w:val="both"/>
      </w:pPr>
      <w:bookmarkStart w:id="149" w:name="Bookmark_para_41"/>
      <w:bookmarkEnd w:id="14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Avila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8SG9-5042-D6RV-H0BP-00000-00&amp;context=1519360" TargetMode="External"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statutes-legislation&amp;id=urn:contentItem:8SGR-CKX2-D6RV-H0D3-00000-00&amp;context=1519360" TargetMode="External" /><Relationship Id="rId14" Type="http://schemas.openxmlformats.org/officeDocument/2006/relationships/hyperlink" Target="https://advance.lexis.com/api/document?collection=cases&amp;id=urn:contentItem:3S4X-5M60-003B-S0VR-00000-00&amp;context=1519360" TargetMode="External" /><Relationship Id="rId15" Type="http://schemas.openxmlformats.org/officeDocument/2006/relationships/hyperlink" Target="https://advance.lexis.com/api/document?collection=cases&amp;id=urn:contentItem:3RWW-9TW0-0038-X0G7-00000-00&amp;context=1519360" TargetMode="External" /><Relationship Id="rId16" Type="http://schemas.openxmlformats.org/officeDocument/2006/relationships/hyperlink" Target="https://advance.lexis.com/api/document?collection=cases&amp;id=urn:contentItem:3S4X-5SK0-001B-K070-00000-00&amp;context=1519360" TargetMode="External" /><Relationship Id="rId17" Type="http://schemas.openxmlformats.org/officeDocument/2006/relationships/hyperlink" Target="https://advance.lexis.com/api/document?collection=cases&amp;id=urn:contentItem:48F4-HF40-004B-Y020-00000-00&amp;context=1519360" TargetMode="External" /><Relationship Id="rId18" Type="http://schemas.openxmlformats.org/officeDocument/2006/relationships/hyperlink" Target="https://advance.lexis.com/api/document?collection=cases&amp;id=urn:contentItem:4NWM-S330-004B-Y00V-00000-00&amp;context=1519360" TargetMode="External" /><Relationship Id="rId19" Type="http://schemas.openxmlformats.org/officeDocument/2006/relationships/hyperlink" Target="https://advance.lexis.com/api/document?collection=cases&amp;id=urn:contentItem:3S4X-9NJ0-003B-S50V-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DB70-003B-S53V-00000-00&amp;context=1519360" TargetMode="External" /><Relationship Id="rId21" Type="http://schemas.openxmlformats.org/officeDocument/2006/relationships/hyperlink" Target="https://advance.lexis.com/api/document?collection=cases&amp;id=urn:contentItem:3X9N-RBY0-0038-X191-00000-00&amp;context=1519360" TargetMode="External" /><Relationship Id="rId22" Type="http://schemas.openxmlformats.org/officeDocument/2006/relationships/hyperlink" Target="https://advance.lexis.com/api/document?collection=cases&amp;id=urn:contentItem:3S42-KWT0-00B1-D226-00000-00&amp;context=1519360" TargetMode="External" /><Relationship Id="rId23" Type="http://schemas.openxmlformats.org/officeDocument/2006/relationships/hyperlink" Target="https://advance.lexis.com/api/document?collection=cases&amp;id=urn:contentItem:3S4X-H190-003B-P19M-00000-00&amp;context=1519360" TargetMode="External" /><Relationship Id="rId24" Type="http://schemas.openxmlformats.org/officeDocument/2006/relationships/hyperlink" Target="https://advance.lexis.com/api/document?collection=cases&amp;id=urn:contentItem:3S4X-CBK0-003B-50XY-00000-00&amp;context=1519360" TargetMode="External" /><Relationship Id="rId25" Type="http://schemas.openxmlformats.org/officeDocument/2006/relationships/hyperlink" Target="https://advance.lexis.com/api/document?collection=statutes-legislation&amp;id=urn:contentItem:8SG9-5HW2-D6RV-H00K-00000-00&amp;context=1519360" TargetMode="External" /><Relationship Id="rId26" Type="http://schemas.openxmlformats.org/officeDocument/2006/relationships/hyperlink" Target="https://advance.lexis.com/api/document?collection=cases&amp;id=urn:contentItem:482F-Y5D0-004B-Y01K-00000-00&amp;context=1519360" TargetMode="External" /><Relationship Id="rId27" Type="http://schemas.openxmlformats.org/officeDocument/2006/relationships/hyperlink" Target="https://advance.lexis.com/api/document?collection=cases&amp;id=urn:contentItem:3YT4-SJC0-0038-X4N3-00000-00&amp;context=1519360" TargetMode="External" /><Relationship Id="rId28" Type="http://schemas.openxmlformats.org/officeDocument/2006/relationships/hyperlink" Target="https://advance.lexis.com/api/document?collection=cases&amp;id=urn:contentItem:4620-0Y20-0038-X06K-00000-00&amp;context=1519360" TargetMode="External" /><Relationship Id="rId29" Type="http://schemas.openxmlformats.org/officeDocument/2006/relationships/hyperlink" Target="https://advance.lexis.com/api/document?collection=cases&amp;id=urn:contentItem:3V20-86P0-0038-X1R5-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4N3F-XCB0-004C-101F-00000-00&amp;context=1519360" TargetMode="External" /><Relationship Id="rId31" Type="http://schemas.openxmlformats.org/officeDocument/2006/relationships/hyperlink" Target="https://advance.lexis.com/api/document?collection=cases&amp;id=urn:contentItem:3WR3-TG60-0038-X25N-00000-00&amp;context=1519360" TargetMode="External" /><Relationship Id="rId32" Type="http://schemas.openxmlformats.org/officeDocument/2006/relationships/hyperlink" Target="https://advance.lexis.com/api/document?collection=cases&amp;id=urn:contentItem:4604-1X00-0038-X4BX-00000-00&amp;context=1519360" TargetMode="External" /><Relationship Id="rId33" Type="http://schemas.openxmlformats.org/officeDocument/2006/relationships/hyperlink" Target="https://advance.lexis.com/api/document?collection=cases&amp;id=urn:contentItem:3WJD-G0W0-0038-X310-00000-00&amp;context=1519360" TargetMode="External" /><Relationship Id="rId34" Type="http://schemas.openxmlformats.org/officeDocument/2006/relationships/hyperlink" Target="https://advance.lexis.com/api/document?collection=cases&amp;id=urn:contentItem:3S4X-CFD0-008H-V0PC-00000-00&amp;context=1519360" TargetMode="External" /><Relationship Id="rId35" Type="http://schemas.openxmlformats.org/officeDocument/2006/relationships/hyperlink" Target="https://advance.lexis.com/api/document?collection=cases&amp;id=urn:contentItem:3S4X-4XX0-008H-V2F7-00000-00&amp;context=1519360" TargetMode="External" /><Relationship Id="rId36" Type="http://schemas.openxmlformats.org/officeDocument/2006/relationships/hyperlink" Target="https://advance.lexis.com/api/document?collection=statutes-legislation&amp;id=urn:contentItem:8SG9-5HW2-D6RV-H0V5-00000-00&amp;context=1519360" TargetMode="External" /><Relationship Id="rId37" Type="http://schemas.openxmlformats.org/officeDocument/2006/relationships/hyperlink" Target="https://advance.lexis.com/api/document?collection=statutes-legislation&amp;id=urn:contentItem:8SG9-5HW2-D6RV-H0VH-00000-00&amp;context=1519360" TargetMode="External" /><Relationship Id="rId38" Type="http://schemas.openxmlformats.org/officeDocument/2006/relationships/hyperlink" Target="https://advance.lexis.com/api/document?collection=cases&amp;id=urn:contentItem:3S4X-3FN0-003B-S3TN-00000-00&amp;context=1519360" TargetMode="External" /><Relationship Id="rId39" Type="http://schemas.openxmlformats.org/officeDocument/2006/relationships/hyperlink" Target="https://advance.lexis.com/api/document?collection=cases&amp;id=urn:contentItem:44DV-0KH0-0038-X19M-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43T2-KGJ0-0038-X4Y3-00000-00&amp;context=1519360" TargetMode="External" /><Relationship Id="rId41" Type="http://schemas.openxmlformats.org/officeDocument/2006/relationships/hyperlink" Target="https://advance.lexis.com/api/document?collection=cases&amp;id=urn:contentItem:3S4X-1B30-003B-P2JX-00000-00&amp;context=1519360" TargetMode="External" /><Relationship Id="rId42" Type="http://schemas.openxmlformats.org/officeDocument/2006/relationships/hyperlink" Target="https://advance.lexis.com/api/document?collection=cases&amp;id=urn:contentItem:3RM0-C9Y0-0038-X1PX-00000-00&amp;context=1519360" TargetMode="External" /><Relationship Id="rId43" Type="http://schemas.openxmlformats.org/officeDocument/2006/relationships/hyperlink" Target="https://advance.lexis.com/api/document?collection=cases&amp;id=urn:contentItem:3YCC-DX50-004B-Y02B-00000-00&amp;context=1519360" TargetMode="External" /><Relationship Id="rId44" Type="http://schemas.openxmlformats.org/officeDocument/2006/relationships/hyperlink" Target="https://advance.lexis.com/api/document?collection=cases&amp;id=urn:contentItem:3S4X-GG40-003B-P2VX-00000-00&amp;context=1519360" TargetMode="External" /><Relationship Id="rId45" Type="http://schemas.openxmlformats.org/officeDocument/2006/relationships/hyperlink" Target="https://advance.lexis.com/api/document?collection=cases&amp;id=urn:contentItem:3S4X-6CP0-008H-V50M-00000-00&amp;context=1519360" TargetMode="External" /><Relationship Id="rId46" Type="http://schemas.openxmlformats.org/officeDocument/2006/relationships/hyperlink" Target="https://advance.lexis.com/api/document?collection=statutes-legislation&amp;id=urn:contentItem:6C7N-K8C3-RS1Y-S2RB-00000-00&amp;context=1519360" TargetMode="External" /><Relationship Id="rId47" Type="http://schemas.openxmlformats.org/officeDocument/2006/relationships/hyperlink" Target="https://advance.lexis.com/api/document?collection=statutes-legislation&amp;id=urn:contentItem:5GYC-2731-FG36-13WD-00000-00&amp;context=1519360" TargetMode="External" /><Relationship Id="rId48" Type="http://schemas.openxmlformats.org/officeDocument/2006/relationships/hyperlink" Target="https://advance.lexis.com/api/document?collection=cases&amp;id=urn:contentItem:3S65-JCJ0-003B-R4G9-00000-00&amp;context=1519360" TargetMode="External" /><Relationship Id="rId49" Type="http://schemas.openxmlformats.org/officeDocument/2006/relationships/hyperlink" Target="https://advance.lexis.com/api/document?collection=cases&amp;id=urn:contentItem:3S4X-1NY0-003B-51XK-00000-00&amp;context=1519360" TargetMode="External" /><Relationship Id="rId5" Type="http://schemas.openxmlformats.org/officeDocument/2006/relationships/footer" Target="footer1.xml" /><Relationship Id="rId50" Type="http://schemas.openxmlformats.org/officeDocument/2006/relationships/hyperlink" Target="https://advance.lexis.com/api/document?collection=statutes-legislation&amp;id=urn:contentItem:8SG9-5HW2-D6RV-H0VG-00000-00&amp;context=1519360" TargetMode="External" /><Relationship Id="rId51" Type="http://schemas.openxmlformats.org/officeDocument/2006/relationships/hyperlink" Target="https://advance.lexis.com/api/document?collection=cases&amp;id=urn:contentItem:3S4X-4BR0-003B-S3HY-00000-00&amp;context=1519360" TargetMode="External" /><Relationship Id="rId52" Type="http://schemas.openxmlformats.org/officeDocument/2006/relationships/hyperlink" Target="https://advance.lexis.com/api/document?collection=cases&amp;id=urn:contentItem:4048-DFS0-004C-001X-00000-00&amp;context=1519360" TargetMode="External" /><Relationship Id="rId53" Type="http://schemas.openxmlformats.org/officeDocument/2006/relationships/hyperlink" Target="https://advance.lexis.com/api/document?collection=cases&amp;id=urn:contentItem:407G-6N90-0038-X2W2-00000-00&amp;context=1519360"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5M4N-CSD1-F04F-C0S1-00000-00&amp;context=1519360" TargetMode="External" /><Relationship Id="rId9" Type="http://schemas.openxmlformats.org/officeDocument/2006/relationships/hyperlink" Target="https://advance.lexis.com/api/document?collection=cases&amp;id=urn:contentItem:59W5-43R1-F04K-N1Y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Avila, 2015 U.S. Dist. LEXIS 182171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Doc::urn:hlct:5|contextualFeaturePermID::1519360</vt:lpwstr>
  </property>
  <property fmtid="{D5CDD505-2E9C-101B-9397-08002B2CF9AE}" pid="5" name="UserPermID">
    <vt:lpwstr>urn:user:PA186186298</vt:lpwstr>
  </property>
</Properties>
</file>