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Lopez-Perez</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Fifth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19, 2015,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15-40145 Summary Calendar</w:t>
      </w:r>
    </w:p>
    <w:p>
      <w:pPr>
        <w:keepNext w:val="0"/>
        <w:spacing w:after="0" w:line="240" w:lineRule="atLeast"/>
        <w:ind w:right="0"/>
        <w:jc w:val="both"/>
      </w:pPr>
      <w:bookmarkStart w:id="0" w:name="Bookmark_72"/>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623 Fed. Appx. 223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2015 U.S. App. LEXIS 20238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Plaintiff-Appellee v. NEREO LOPEZ-PEREZ, Defendant-Appellant</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 xml:space="preserve">PLEASE REFER TO </w:t>
      </w:r>
      <w:r>
        <w:rPr>
          <w:rFonts w:ascii="arial" w:eastAsia="arial" w:hAnsi="arial" w:cs="arial"/>
          <w:b w:val="0"/>
          <w:i/>
          <w:strike w:val="0"/>
          <w:noProof w:val="0"/>
          <w:color w:val="000000"/>
          <w:position w:val="0"/>
          <w:sz w:val="20"/>
          <w:u w:val="none"/>
          <w:vertAlign w:val="baseline"/>
        </w:rPr>
        <w:t>FEDERAL RULES OF APPELLATE PROCEDURE RULE 32.1</w:t>
      </w:r>
      <w:r>
        <w:rPr>
          <w:rFonts w:ascii="arial" w:eastAsia="arial" w:hAnsi="arial" w:cs="arial"/>
          <w:b w:val="0"/>
          <w:i w:val="0"/>
          <w:strike w:val="0"/>
          <w:noProof w:val="0"/>
          <w:color w:val="000000"/>
          <w:position w:val="0"/>
          <w:sz w:val="20"/>
          <w:u w:val="none"/>
          <w:vertAlign w:val="baseline"/>
        </w:rPr>
        <w:t xml:space="preserve"> GOVERNING THE CITATION TO UNPUBLISHED OPINIONS.</w:t>
      </w:r>
    </w:p>
    <w:p>
      <w:pPr>
        <w:keepNext w:val="0"/>
        <w:spacing w:before="240" w:after="0" w:line="260" w:lineRule="atLeast"/>
        <w:ind w:left="0" w:right="0" w:firstLine="0"/>
        <w:jc w:val="both"/>
      </w:pPr>
      <w:bookmarkStart w:id="4" w:name="Prior History"/>
      <w:bookmarkEnd w:id="4"/>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5" w:name="Bookmark_para_2"/>
      <w:bookmarkEnd w:id="5"/>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Appeal from the United States District Court for the Southern District of Texas. USDC No. 5:14-CR-84.</w:t>
      </w:r>
    </w:p>
    <w:p>
      <w:pPr>
        <w:keepNext w:val="0"/>
        <w:spacing w:before="240" w:after="0" w:line="260" w:lineRule="atLeast"/>
        <w:ind w:left="0" w:right="0" w:firstLine="0"/>
        <w:jc w:val="both"/>
      </w:pPr>
      <w:bookmarkStart w:id="6" w:name="Disposition"/>
      <w:bookmarkEnd w:id="6"/>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7" w:name="Bookmark_clspara_4"/>
      <w:bookmarkEnd w:id="7"/>
      <w:r>
        <w:rPr>
          <w:rFonts w:ascii="arial" w:eastAsia="arial" w:hAnsi="arial" w:cs="arial"/>
          <w:b w:val="0"/>
          <w:i w:val="0"/>
          <w:strike w:val="0"/>
          <w:noProof w:val="0"/>
          <w:color w:val="000000"/>
          <w:position w:val="0"/>
          <w:sz w:val="20"/>
          <w:u w:val="none"/>
          <w:vertAlign w:val="baseline"/>
        </w:rPr>
        <w:t>AFFIRMED.</w:t>
      </w:r>
    </w:p>
    <w:p>
      <w:pPr>
        <w:keepNext/>
        <w:spacing w:before="240" w:after="0" w:line="340" w:lineRule="atLeast"/>
        <w:ind w:left="0" w:right="0" w:firstLine="0"/>
        <w:jc w:val="left"/>
      </w:pPr>
      <w:bookmarkStart w:id="8" w:name="Core Terms"/>
      <w:bookmarkEnd w:id="8"/>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smuggling, district court, wire transfer, leadership-role, sentence, leader, undocumented alien, criminal activity, organizer, recruited, aliens, text message, plain error, confirmed, inquiring, quotation, crossing, domestic, counted, monitor, argues, harbor, marks, stash</w:t>
      </w:r>
    </w:p>
    <w:p>
      <w:pPr>
        <w:keepNext/>
        <w:spacing w:before="240" w:after="0" w:line="340" w:lineRule="atLeast"/>
        <w:ind w:left="0" w:right="0" w:firstLine="0"/>
        <w:jc w:val="left"/>
      </w:pPr>
      <w:bookmarkStart w:id="9" w:name="LexisNexis® Headnotes"/>
      <w:bookmarkEnd w:id="9"/>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10" w:name="Bookmark_clscc1"/>
      <w:bookmarkEnd w:id="1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Sentencing Guidelines &gt; Adjustments &amp; Enhancements &gt; Aggravating Role</w:t>
      </w:r>
    </w:p>
    <w:p>
      <w:pPr>
        <w:keepNext w:val="0"/>
        <w:spacing w:before="240" w:after="0" w:line="260" w:lineRule="atLeast"/>
        <w:ind w:left="0" w:right="0" w:firstLine="0"/>
        <w:jc w:val="both"/>
      </w:pPr>
      <w:hyperlink r:id="rId10"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Adjustments &amp; Enhancements, Aggravating Role</w:t>
      </w:r>
    </w:p>
    <w:p>
      <w:pPr>
        <w:keepNext w:val="0"/>
        <w:spacing w:before="240" w:after="0" w:line="260" w:lineRule="atLeast"/>
        <w:ind w:left="0" w:right="0" w:firstLine="0"/>
        <w:jc w:val="both"/>
      </w:pPr>
      <w:bookmarkStart w:id="11" w:name="Bookmark_hnpara_1"/>
      <w:bookmarkEnd w:id="11"/>
      <w:hyperlink r:id="rId12" w:history="1">
        <w:r>
          <w:rPr>
            <w:rFonts w:ascii="arial" w:eastAsia="arial" w:hAnsi="arial" w:cs="arial"/>
            <w:b w:val="0"/>
            <w:i/>
            <w:strike w:val="0"/>
            <w:color w:val="0077CC"/>
            <w:sz w:val="20"/>
            <w:u w:val="single"/>
            <w:vertAlign w:val="baseline"/>
          </w:rPr>
          <w:t>U.S. Sentencing Guidelines Manual § 3B1.1(a)</w:t>
        </w:r>
      </w:hyperlink>
      <w:r>
        <w:rPr>
          <w:rFonts w:ascii="arial" w:eastAsia="arial" w:hAnsi="arial" w:cs="arial"/>
          <w:b w:val="0"/>
          <w:i w:val="0"/>
          <w:strike w:val="0"/>
          <w:noProof w:val="0"/>
          <w:color w:val="000000"/>
          <w:position w:val="0"/>
          <w:sz w:val="20"/>
          <w:u w:val="none"/>
          <w:vertAlign w:val="baseline"/>
        </w:rPr>
        <w:t xml:space="preserve"> provides for a four-level increase in the base offense level where the defendant was an organizer or leader of a criminal activity that involved five or more participants or was otherwise extensive.</w:t>
      </w:r>
    </w:p>
    <w:p>
      <w:pPr>
        <w:spacing w:before="120"/>
      </w:pPr>
      <w:bookmarkStart w:id="12" w:name="Bookmark_clscc2"/>
      <w:bookmarkEnd w:id="1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Sentencing Guidelines &gt; Adjustments &amp; Enhancements &gt; Aggravating Role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Appeals &gt; Standards of Review &gt; Clear Error Review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Clearly Erroneous Review &gt; Findings of Fact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Clearly Erroneous Review &gt; Sentences</w:t>
      </w:r>
    </w:p>
    <w:p>
      <w:pPr>
        <w:keepNext w:val="0"/>
        <w:spacing w:before="240" w:after="0" w:line="260" w:lineRule="atLeast"/>
        <w:ind w:left="0" w:right="0" w:firstLine="0"/>
        <w:jc w:val="both"/>
      </w:pPr>
      <w:hyperlink r:id="rId13"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Adjustments &amp; Enhancements, Aggravating Role</w:t>
      </w:r>
    </w:p>
    <w:p>
      <w:pPr>
        <w:keepNext w:val="0"/>
        <w:spacing w:before="240" w:after="0" w:line="260" w:lineRule="atLeast"/>
        <w:ind w:left="0" w:right="0" w:firstLine="0"/>
        <w:jc w:val="both"/>
      </w:pPr>
      <w:bookmarkStart w:id="13" w:name="Bookmark_hnpara_2"/>
      <w:bookmarkEnd w:id="13"/>
      <w:r>
        <w:rPr>
          <w:rFonts w:ascii="arial" w:eastAsia="arial" w:hAnsi="arial" w:cs="arial"/>
          <w:b w:val="0"/>
          <w:i w:val="0"/>
          <w:strike w:val="0"/>
          <w:noProof w:val="0"/>
          <w:color w:val="000000"/>
          <w:position w:val="0"/>
          <w:sz w:val="20"/>
          <w:u w:val="none"/>
          <w:vertAlign w:val="baseline"/>
        </w:rPr>
        <w:t xml:space="preserve">Whether a defendant is a leader for purposes of an adjustment under </w:t>
      </w:r>
      <w:hyperlink r:id="rId12" w:history="1">
        <w:r>
          <w:rPr>
            <w:rFonts w:ascii="arial" w:eastAsia="arial" w:hAnsi="arial" w:cs="arial"/>
            <w:b w:val="0"/>
            <w:i/>
            <w:strike w:val="0"/>
            <w:noProof w:val="0"/>
            <w:color w:val="0077CC"/>
            <w:position w:val="0"/>
            <w:sz w:val="20"/>
            <w:u w:val="single"/>
            <w:vertAlign w:val="baseline"/>
          </w:rPr>
          <w:t>U.S. Sentencing Guidelines Manual § 3B1.1(a)</w:t>
        </w:r>
      </w:hyperlink>
      <w:r>
        <w:rPr>
          <w:rFonts w:ascii="arial" w:eastAsia="arial" w:hAnsi="arial" w:cs="arial"/>
          <w:b w:val="0"/>
          <w:i w:val="0"/>
          <w:strike w:val="0"/>
          <w:noProof w:val="0"/>
          <w:color w:val="000000"/>
          <w:position w:val="0"/>
          <w:sz w:val="20"/>
          <w:u w:val="none"/>
          <w:vertAlign w:val="baseline"/>
        </w:rPr>
        <w:t xml:space="preserve"> is a finding of fact reviewed for clear error. A factual finding is not clearly erroneous so long as it is plausible in light of the record as a whole.</w:t>
      </w:r>
    </w:p>
    <w:p>
      <w:pPr>
        <w:spacing w:before="120"/>
      </w:pPr>
      <w:bookmarkStart w:id="14" w:name="Bookmark_clscc3"/>
      <w:bookmarkEnd w:id="1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Sentencing Guidelines &gt; Adjustments &amp; Enhancements &gt; Aggravating Role</w:t>
      </w:r>
    </w:p>
    <w:p>
      <w:pPr>
        <w:keepNext w:val="0"/>
        <w:spacing w:before="240" w:after="0" w:line="260" w:lineRule="atLeast"/>
        <w:ind w:left="0" w:right="0" w:firstLine="0"/>
        <w:jc w:val="both"/>
      </w:pPr>
      <w:hyperlink r:id="rId14"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Adjustments &amp; Enhancements, Aggravating Role</w:t>
      </w:r>
    </w:p>
    <w:p>
      <w:pPr>
        <w:keepNext w:val="0"/>
        <w:spacing w:before="240" w:after="0" w:line="260" w:lineRule="atLeast"/>
        <w:ind w:left="0" w:right="0" w:firstLine="0"/>
        <w:jc w:val="both"/>
      </w:pPr>
      <w:bookmarkStart w:id="15" w:name="Bookmark_hnpara_3"/>
      <w:bookmarkEnd w:id="15"/>
      <w:r>
        <w:rPr>
          <w:rFonts w:ascii="arial" w:eastAsia="arial" w:hAnsi="arial" w:cs="arial"/>
          <w:b w:val="0"/>
          <w:i w:val="0"/>
          <w:strike w:val="0"/>
          <w:noProof w:val="0"/>
          <w:color w:val="000000"/>
          <w:position w:val="0"/>
          <w:sz w:val="20"/>
          <w:u w:val="none"/>
          <w:vertAlign w:val="baseline"/>
        </w:rPr>
        <w:t xml:space="preserve">In the context of a leadership enhancement, the U.S. Sentencing Guidelines define a participant as a person who is criminally responsible for the commission of the offense, but need not have been convicted. </w:t>
      </w:r>
      <w:hyperlink r:id="rId12" w:history="1">
        <w:r>
          <w:rPr>
            <w:rFonts w:ascii="arial" w:eastAsia="arial" w:hAnsi="arial" w:cs="arial"/>
            <w:b w:val="0"/>
            <w:i/>
            <w:strike w:val="0"/>
            <w:noProof w:val="0"/>
            <w:color w:val="0077CC"/>
            <w:position w:val="0"/>
            <w:sz w:val="20"/>
            <w:u w:val="single"/>
            <w:vertAlign w:val="baseline"/>
          </w:rPr>
          <w:t>U.S. Sentencing Guidelines Manual § 3B1.1</w:t>
        </w:r>
      </w:hyperlink>
      <w:r>
        <w:rPr>
          <w:rFonts w:ascii="arial" w:eastAsia="arial" w:hAnsi="arial" w:cs="arial"/>
          <w:b w:val="0"/>
          <w:i w:val="0"/>
          <w:strike w:val="0"/>
          <w:noProof w:val="0"/>
          <w:color w:val="000000"/>
          <w:position w:val="0"/>
          <w:sz w:val="20"/>
          <w:u w:val="none"/>
          <w:vertAlign w:val="baseline"/>
        </w:rPr>
        <w:t>, cmt., application n. 1.</w:t>
      </w:r>
    </w:p>
    <w:p>
      <w:pPr>
        <w:spacing w:before="120"/>
      </w:pPr>
      <w:bookmarkStart w:id="16" w:name="Bookmark_clscc4"/>
      <w:bookmarkEnd w:id="1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w:t>
      </w:r>
    </w:p>
    <w:p>
      <w:pPr>
        <w:keepNext w:val="0"/>
        <w:spacing w:before="240" w:after="0" w:line="260" w:lineRule="atLeast"/>
        <w:ind w:left="0" w:right="0" w:firstLine="0"/>
        <w:jc w:val="both"/>
      </w:pPr>
      <w:hyperlink r:id="rId15"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Criminal Law &amp; Procedure, Appeals</w:t>
      </w:r>
    </w:p>
    <w:p>
      <w:pPr>
        <w:keepNext w:val="0"/>
        <w:spacing w:before="240" w:after="0" w:line="260" w:lineRule="atLeast"/>
        <w:ind w:left="0" w:right="0" w:firstLine="0"/>
        <w:jc w:val="both"/>
      </w:pPr>
      <w:bookmarkStart w:id="17" w:name="Bookmark_hnpara_4"/>
      <w:bookmarkEnd w:id="17"/>
      <w:r>
        <w:rPr>
          <w:rFonts w:ascii="arial" w:eastAsia="arial" w:hAnsi="arial" w:cs="arial"/>
          <w:b w:val="0"/>
          <w:i w:val="0"/>
          <w:strike w:val="0"/>
          <w:noProof w:val="0"/>
          <w:color w:val="000000"/>
          <w:position w:val="0"/>
          <w:sz w:val="20"/>
          <w:u w:val="none"/>
          <w:vertAlign w:val="baseline"/>
        </w:rPr>
        <w:t>An appellate court may affirm on any alternative ground apparent from the record.</w:t>
      </w:r>
    </w:p>
    <w:p>
      <w:pPr>
        <w:spacing w:before="120"/>
      </w:pPr>
      <w:bookmarkStart w:id="18" w:name="Bookmark_clscc5"/>
      <w:bookmarkEnd w:id="1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Sentencing Guidelines &gt; Adjustments &amp; Enhancements &gt; Aggravating Role</w:t>
      </w:r>
    </w:p>
    <w:p>
      <w:pPr>
        <w:keepNext w:val="0"/>
        <w:spacing w:before="240" w:after="0" w:line="260" w:lineRule="atLeast"/>
        <w:ind w:left="0" w:right="0" w:firstLine="0"/>
        <w:jc w:val="both"/>
      </w:pPr>
      <w:hyperlink r:id="rId16"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Adjustments &amp; Enhancements, Aggravating Role</w:t>
      </w:r>
    </w:p>
    <w:p>
      <w:pPr>
        <w:keepNext w:val="0"/>
        <w:spacing w:before="240" w:after="0" w:line="260" w:lineRule="atLeast"/>
        <w:ind w:left="0" w:right="0" w:firstLine="0"/>
        <w:jc w:val="both"/>
      </w:pPr>
      <w:bookmarkStart w:id="19" w:name="Bookmark_hnpara_5"/>
      <w:bookmarkEnd w:id="19"/>
      <w:r>
        <w:rPr>
          <w:rFonts w:ascii="arial" w:eastAsia="arial" w:hAnsi="arial" w:cs="arial"/>
          <w:b w:val="0"/>
          <w:i w:val="0"/>
          <w:strike w:val="0"/>
          <w:noProof w:val="0"/>
          <w:color w:val="000000"/>
          <w:position w:val="0"/>
          <w:sz w:val="20"/>
          <w:u w:val="none"/>
          <w:vertAlign w:val="baseline"/>
        </w:rPr>
        <w:t xml:space="preserve">Regardless of whether there were five or more knowing participants, </w:t>
      </w:r>
      <w:hyperlink r:id="rId12" w:history="1">
        <w:r>
          <w:rPr>
            <w:rFonts w:ascii="arial" w:eastAsia="arial" w:hAnsi="arial" w:cs="arial"/>
            <w:b w:val="0"/>
            <w:i/>
            <w:strike w:val="0"/>
            <w:noProof w:val="0"/>
            <w:color w:val="0077CC"/>
            <w:position w:val="0"/>
            <w:sz w:val="20"/>
            <w:u w:val="single"/>
            <w:vertAlign w:val="baseline"/>
          </w:rPr>
          <w:t>U.S. Sentencing Guidelines Manual § 3B1.1(a)</w:t>
        </w:r>
      </w:hyperlink>
      <w:r>
        <w:rPr>
          <w:rFonts w:ascii="arial" w:eastAsia="arial" w:hAnsi="arial" w:cs="arial"/>
          <w:b w:val="0"/>
          <w:i w:val="0"/>
          <w:strike w:val="0"/>
          <w:noProof w:val="0"/>
          <w:color w:val="000000"/>
          <w:position w:val="0"/>
          <w:sz w:val="20"/>
          <w:u w:val="none"/>
          <w:vertAlign w:val="baseline"/>
        </w:rPr>
        <w:t xml:space="preserve"> adjustment applies when the criminal activity was otherwise extensive. According to the commentary, in assessing whether an organization is otherwise extensive, all persons involved during the course of the entire offense are to be considered even if the criminal operation used the unknowing services of many outsiders. </w:t>
      </w:r>
      <w:hyperlink r:id="rId12" w:history="1">
        <w:r>
          <w:rPr>
            <w:rFonts w:ascii="arial" w:eastAsia="arial" w:hAnsi="arial" w:cs="arial"/>
            <w:b w:val="0"/>
            <w:i/>
            <w:strike w:val="0"/>
            <w:noProof w:val="0"/>
            <w:color w:val="0077CC"/>
            <w:position w:val="0"/>
            <w:sz w:val="20"/>
            <w:u w:val="single"/>
            <w:vertAlign w:val="baseline"/>
          </w:rPr>
          <w:t>U.S. Sentencing Guidelines Manual § 3B1.1</w:t>
        </w:r>
      </w:hyperlink>
      <w:r>
        <w:rPr>
          <w:rFonts w:ascii="arial" w:eastAsia="arial" w:hAnsi="arial" w:cs="arial"/>
          <w:b w:val="0"/>
          <w:i w:val="0"/>
          <w:strike w:val="0"/>
          <w:noProof w:val="0"/>
          <w:color w:val="000000"/>
          <w:position w:val="0"/>
          <w:sz w:val="20"/>
          <w:u w:val="none"/>
          <w:vertAlign w:val="baseline"/>
        </w:rPr>
        <w:t>, cmt., application n. 3.</w:t>
      </w:r>
    </w:p>
    <w:p>
      <w:pPr>
        <w:spacing w:before="120"/>
      </w:pPr>
      <w:bookmarkStart w:id="20" w:name="Bookmark_clscc6"/>
      <w:bookmarkEnd w:id="2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Sentencing Guidelines &gt; Adjustments &amp; Enhancements &gt; Aggravating Role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Appeals &gt; Standards of Review &gt; Plain Error</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Standards of Review &gt; Plain Error</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Reviewability &gt; Preservation for Review &gt; Exceptions to Failure to Object</w:t>
      </w:r>
    </w:p>
    <w:p>
      <w:pPr>
        <w:keepNext w:val="0"/>
        <w:spacing w:before="240" w:after="0" w:line="260" w:lineRule="atLeast"/>
        <w:ind w:left="0" w:right="0" w:firstLine="0"/>
        <w:jc w:val="both"/>
      </w:pPr>
      <w:hyperlink r:id="rId17"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Adjustments &amp; Enhancements, Aggravating Role</w:t>
      </w:r>
    </w:p>
    <w:p>
      <w:pPr>
        <w:keepNext w:val="0"/>
        <w:spacing w:before="240" w:after="0" w:line="260" w:lineRule="atLeast"/>
        <w:ind w:left="0" w:right="0" w:firstLine="0"/>
        <w:jc w:val="both"/>
      </w:pPr>
      <w:bookmarkStart w:id="21" w:name="Bookmark_hnpara_6"/>
      <w:bookmarkEnd w:id="21"/>
      <w:r>
        <w:rPr>
          <w:rFonts w:ascii="arial" w:eastAsia="arial" w:hAnsi="arial" w:cs="arial"/>
          <w:b w:val="0"/>
          <w:i w:val="0"/>
          <w:strike w:val="0"/>
          <w:noProof w:val="0"/>
          <w:color w:val="000000"/>
          <w:position w:val="0"/>
          <w:sz w:val="20"/>
          <w:u w:val="none"/>
          <w:vertAlign w:val="baseline"/>
        </w:rPr>
        <w:t>When a defendant did not argue in the district court that he was only a manager and that the leadership-role adjustment rendered his sentence substantively unreasonable, an appellate court will review those arguments for plain error.</w:t>
      </w:r>
    </w:p>
    <w:p>
      <w:pPr>
        <w:spacing w:before="120"/>
      </w:pPr>
      <w:bookmarkStart w:id="22" w:name="Bookmark_clscc7"/>
      <w:bookmarkEnd w:id="2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Plain Error &gt; Definition of Plain Error</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Plain Error &gt; Judicial Discretion</w:t>
      </w:r>
    </w:p>
    <w:p>
      <w:pPr>
        <w:keepNext w:val="0"/>
        <w:spacing w:before="240" w:after="0" w:line="260" w:lineRule="atLeast"/>
        <w:ind w:left="0" w:right="0" w:firstLine="0"/>
        <w:jc w:val="both"/>
      </w:pPr>
      <w:hyperlink r:id="rId18"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LNHNREFclscc7" w:history="1">
        <w:r>
          <w:pict>
            <v:shape id="_x0000_i1034"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Plain Error, Definition of Plain Error</w:t>
      </w:r>
    </w:p>
    <w:p>
      <w:pPr>
        <w:keepNext w:val="0"/>
        <w:spacing w:before="240" w:after="0" w:line="260" w:lineRule="atLeast"/>
        <w:ind w:left="0" w:right="0" w:firstLine="0"/>
        <w:jc w:val="both"/>
      </w:pPr>
      <w:bookmarkStart w:id="23" w:name="Bookmark_hnpara_7"/>
      <w:bookmarkEnd w:id="23"/>
      <w:r>
        <w:rPr>
          <w:rFonts w:ascii="arial" w:eastAsia="arial" w:hAnsi="arial" w:cs="arial"/>
          <w:b w:val="0"/>
          <w:i w:val="0"/>
          <w:strike w:val="0"/>
          <w:noProof w:val="0"/>
          <w:color w:val="000000"/>
          <w:position w:val="0"/>
          <w:sz w:val="20"/>
          <w:u w:val="none"/>
          <w:vertAlign w:val="baseline"/>
        </w:rPr>
        <w:t>Plain error requires an error that is clear or obvious and affects a defendant's substantial rights. If those requirements are met, an appellate court has the discretion to correct the error if it seriously affects the fairness, integrity or public reputation of judicial proceedings.</w:t>
      </w:r>
    </w:p>
    <w:p>
      <w:pPr>
        <w:spacing w:before="120"/>
      </w:pPr>
      <w:bookmarkStart w:id="24" w:name="Bookmark_clscc8"/>
      <w:bookmarkEnd w:id="2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Sentencing Guidelines &gt; Adjustments &amp; Enhancements &gt; Aggravating Role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Imposition of Sentence &gt; Findings</w:t>
      </w:r>
    </w:p>
    <w:p>
      <w:pPr>
        <w:keepNext w:val="0"/>
        <w:spacing w:before="240" w:after="0" w:line="260" w:lineRule="atLeast"/>
        <w:ind w:left="0" w:right="0" w:firstLine="0"/>
        <w:jc w:val="both"/>
      </w:pPr>
      <w:hyperlink r:id="rId19"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LNHNREFclscc8" w:history="1">
        <w:r>
          <w:pict>
            <v:shape id="_x0000_i1035"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Adjustments &amp; Enhancements, Aggravating Role</w:t>
      </w:r>
    </w:p>
    <w:p>
      <w:pPr>
        <w:keepNext w:val="0"/>
        <w:spacing w:before="240" w:after="0" w:line="260" w:lineRule="atLeast"/>
        <w:ind w:left="0" w:right="0" w:firstLine="0"/>
        <w:jc w:val="both"/>
      </w:pPr>
      <w:bookmarkStart w:id="25" w:name="Bookmark_hnpara_8"/>
      <w:bookmarkEnd w:id="25"/>
      <w:r>
        <w:rPr>
          <w:rFonts w:ascii="arial" w:eastAsia="arial" w:hAnsi="arial" w:cs="arial"/>
          <w:b w:val="0"/>
          <w:i w:val="0"/>
          <w:strike w:val="0"/>
          <w:noProof w:val="0"/>
          <w:color w:val="000000"/>
          <w:position w:val="0"/>
          <w:sz w:val="20"/>
          <w:u w:val="none"/>
          <w:vertAlign w:val="baseline"/>
        </w:rPr>
        <w:t xml:space="preserve">In determining whether a defendant was a leader, a court should consider, among other things, the exercise of decision-making authority, the nature and scope of illegal activity, the nature of participation, the degree of participation in planning or organizing the offense, the recruitment of accomplices, the claimed right to a larger share of the fruits of the crime, and the degree of control and authority over others. </w:t>
      </w:r>
      <w:hyperlink r:id="rId12" w:history="1">
        <w:r>
          <w:rPr>
            <w:rFonts w:ascii="arial" w:eastAsia="arial" w:hAnsi="arial" w:cs="arial"/>
            <w:b w:val="0"/>
            <w:i/>
            <w:strike w:val="0"/>
            <w:noProof w:val="0"/>
            <w:color w:val="0077CC"/>
            <w:position w:val="0"/>
            <w:sz w:val="20"/>
            <w:u w:val="single"/>
            <w:vertAlign w:val="baseline"/>
          </w:rPr>
          <w:t>U.S. Sentencing Guidelines Manual § 3B1.1</w:t>
        </w:r>
      </w:hyperlink>
      <w:r>
        <w:rPr>
          <w:rFonts w:ascii="arial" w:eastAsia="arial" w:hAnsi="arial" w:cs="arial"/>
          <w:b w:val="0"/>
          <w:i w:val="0"/>
          <w:strike w:val="0"/>
          <w:noProof w:val="0"/>
          <w:color w:val="000000"/>
          <w:position w:val="0"/>
          <w:sz w:val="20"/>
          <w:u w:val="none"/>
          <w:vertAlign w:val="baseline"/>
        </w:rPr>
        <w:t>, cmt., application n. 4.</w:t>
      </w:r>
    </w:p>
    <w:p>
      <w:pPr>
        <w:spacing w:before="120"/>
      </w:pPr>
      <w:bookmarkStart w:id="26" w:name="Bookmark_clscc9"/>
      <w:bookmarkEnd w:id="2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Sentencing Guidelines &gt; Adjustments &amp; Enhancements &gt; Aggravating Role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Inferences &amp; Presumptions &gt; Presumptions &gt; Rebuttal of Presumptions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Appeals &gt; Proportionality &amp; Reasonableness Review</w:t>
      </w:r>
    </w:p>
    <w:p>
      <w:pPr>
        <w:keepNext w:val="0"/>
        <w:spacing w:before="240" w:after="0" w:line="260" w:lineRule="atLeast"/>
        <w:ind w:left="0" w:right="0" w:firstLine="0"/>
        <w:jc w:val="both"/>
      </w:pPr>
      <w:hyperlink r:id="rId20"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LNHNREFclscc9" w:history="1">
        <w:r>
          <w:pict>
            <v:shape id="_x0000_i1036"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Adjustments &amp; Enhancements, Aggravating Role</w:t>
      </w:r>
    </w:p>
    <w:p>
      <w:pPr>
        <w:keepNext w:val="0"/>
        <w:spacing w:before="240" w:after="0" w:line="260" w:lineRule="atLeast"/>
        <w:ind w:left="0" w:right="0" w:firstLine="0"/>
        <w:jc w:val="both"/>
      </w:pPr>
      <w:bookmarkStart w:id="27" w:name="Bookmark_hnpara_9"/>
      <w:bookmarkEnd w:id="27"/>
      <w:r>
        <w:rPr>
          <w:rFonts w:ascii="arial" w:eastAsia="arial" w:hAnsi="arial" w:cs="arial"/>
          <w:b w:val="0"/>
          <w:i w:val="0"/>
          <w:strike w:val="0"/>
          <w:noProof w:val="0"/>
          <w:color w:val="000000"/>
          <w:position w:val="0"/>
          <w:sz w:val="20"/>
          <w:u w:val="none"/>
          <w:vertAlign w:val="baseline"/>
        </w:rPr>
        <w:t xml:space="preserve">When no error, plain or otherwise, occurred in the application of the leadership-role adjustment under </w:t>
      </w:r>
      <w:hyperlink r:id="rId12" w:history="1">
        <w:r>
          <w:rPr>
            <w:rFonts w:ascii="arial" w:eastAsia="arial" w:hAnsi="arial" w:cs="arial"/>
            <w:b w:val="0"/>
            <w:i/>
            <w:strike w:val="0"/>
            <w:noProof w:val="0"/>
            <w:color w:val="0077CC"/>
            <w:position w:val="0"/>
            <w:sz w:val="20"/>
            <w:u w:val="single"/>
            <w:vertAlign w:val="baseline"/>
          </w:rPr>
          <w:t>U.S. Sentencing Guidelines Manual § 3B1.1(a)</w:t>
        </w:r>
      </w:hyperlink>
      <w:r>
        <w:rPr>
          <w:rFonts w:ascii="arial" w:eastAsia="arial" w:hAnsi="arial" w:cs="arial"/>
          <w:b w:val="0"/>
          <w:i w:val="0"/>
          <w:strike w:val="0"/>
          <w:noProof w:val="0"/>
          <w:color w:val="000000"/>
          <w:position w:val="0"/>
          <w:sz w:val="20"/>
          <w:u w:val="none"/>
          <w:vertAlign w:val="baseline"/>
        </w:rPr>
        <w:t>, the presumption of reasonableness that is accorded a within-U.S. Sentencing Guidelines sentence has not been rebutted.</w:t>
      </w:r>
    </w:p>
    <w:p>
      <w:pPr>
        <w:keepNext w:val="0"/>
        <w:spacing w:before="240" w:after="0" w:line="260" w:lineRule="atLeast"/>
        <w:ind w:left="0" w:right="0" w:firstLine="0"/>
        <w:jc w:val="left"/>
      </w:pPr>
      <w:bookmarkStart w:id="28" w:name="Counsel"/>
      <w:bookmarkEnd w:id="28"/>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For United States of America, Plaintiff - Appellee: Katherine Lisa Haden, Assistant U.S. Attorney, Renata Ann Gowie, Assistant U.S. Attorney, U.S. Attorney's Office, Southern District of Texas, Houston,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For Nereo Lopez-Perez, Defendant - Appellant: Oscar O. Pena, Esq.,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TX.</w:t>
      </w:r>
    </w:p>
    <w:p>
      <w:pPr>
        <w:keepNext w:val="0"/>
        <w:spacing w:before="240" w:after="0" w:line="260" w:lineRule="atLeast"/>
        <w:ind w:left="0" w:right="0" w:firstLine="0"/>
        <w:jc w:val="left"/>
      </w:pPr>
      <w:bookmarkStart w:id="29" w:name="Judges"/>
      <w:bookmarkEnd w:id="29"/>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HIGGINBOTHAM, ELROD, and SOUTHWICK, Circuit Judges.</w:t>
      </w:r>
    </w:p>
    <w:p>
      <w:pPr>
        <w:keepNext/>
        <w:spacing w:before="240" w:after="0" w:line="340" w:lineRule="atLeast"/>
        <w:ind w:left="0" w:right="0" w:firstLine="0"/>
        <w:jc w:val="left"/>
      </w:pPr>
      <w:bookmarkStart w:id="30" w:name="Opinion"/>
      <w:bookmarkEnd w:id="30"/>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37"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bookmarkStart w:id="31" w:name="Bookmark_para_3"/>
      <w:bookmarkEnd w:id="31"/>
      <w:r>
        <w:rPr>
          <w:rFonts w:ascii="arial" w:eastAsia="arial" w:hAnsi="arial" w:cs="arial"/>
          <w:b/>
          <w:i w:val="0"/>
          <w:strike w:val="0"/>
          <w:noProof w:val="0"/>
          <w:color w:val="000000"/>
          <w:position w:val="0"/>
          <w:sz w:val="20"/>
          <w:u w:val="none"/>
          <w:vertAlign w:val="baseline"/>
        </w:rPr>
        <w:t> [*223] </w:t>
      </w:r>
      <w:r>
        <w:rPr>
          <w:rFonts w:ascii="arial" w:eastAsia="arial" w:hAnsi="arial" w:cs="arial"/>
          <w:b w:val="0"/>
          <w:i w:val="0"/>
          <w:strike w:val="0"/>
          <w:noProof w:val="0"/>
          <w:color w:val="000000"/>
          <w:position w:val="0"/>
          <w:sz w:val="20"/>
          <w:u w:val="none"/>
          <w:vertAlign w:val="baseline"/>
        </w:rPr>
        <w:t xml:space="preserve"> PER CURIAM:</w:t>
      </w:r>
      <w:r>
        <w:rPr>
          <w:rFonts w:ascii="arial" w:eastAsia="arial" w:hAnsi="arial" w:cs="arial"/>
          <w:vertAlign w:val="superscript"/>
        </w:rPr>
        <w:footnoteReference w:customMarkFollows="1" w:id="2"/>
        <w:t xml:space="preserve">*</w:t>
      </w:r>
    </w:p>
    <w:p>
      <w:pPr>
        <w:keepNext w:val="0"/>
        <w:spacing w:before="200" w:after="0" w:line="260" w:lineRule="atLeast"/>
        <w:ind w:left="0" w:right="0" w:firstLine="0"/>
        <w:jc w:val="both"/>
      </w:pPr>
      <w:bookmarkStart w:id="33" w:name="Bookmark_para_4"/>
      <w:bookmarkEnd w:id="33"/>
      <w:r>
        <w:rPr>
          <w:rFonts w:ascii="arial" w:eastAsia="arial" w:hAnsi="arial" w:cs="arial"/>
          <w:b w:val="0"/>
          <w:i w:val="0"/>
          <w:strike w:val="0"/>
          <w:noProof w:val="0"/>
          <w:color w:val="000000"/>
          <w:position w:val="0"/>
          <w:sz w:val="20"/>
          <w:u w:val="none"/>
          <w:vertAlign w:val="baseline"/>
        </w:rPr>
        <w:t xml:space="preserve">Nereo Lopez-Perez pled guilty to one count of conspiracy to harbor an undocumented alien for financial gain and to three counts of harboring an undocumented alien. The district court sentenced Lopez-Perez to four concurrent terms of 34 months of imprisonment and to a three-year term of supervised release on each count. He argues that the district court erred in applying the leadership-role adjustment under </w:t>
      </w:r>
      <w:hyperlink r:id="rId12" w:history="1">
        <w:r>
          <w:rPr>
            <w:rFonts w:ascii="arial" w:eastAsia="arial" w:hAnsi="arial" w:cs="arial"/>
            <w:b w:val="0"/>
            <w:i/>
            <w:strike w:val="0"/>
            <w:noProof w:val="0"/>
            <w:color w:val="0077CC"/>
            <w:position w:val="0"/>
            <w:sz w:val="20"/>
            <w:u w:val="single"/>
            <w:vertAlign w:val="baseline"/>
          </w:rPr>
          <w:t>U.S.S.G. § 3B1.1(a)</w:t>
        </w:r>
      </w:hyperlink>
      <w:r>
        <w:rPr>
          <w:rFonts w:ascii="arial" w:eastAsia="arial" w:hAnsi="arial" w:cs="arial"/>
          <w:b w:val="0"/>
          <w:i w:val="0"/>
          <w:strike w:val="0"/>
          <w:noProof w:val="0"/>
          <w:color w:val="000000"/>
          <w:position w:val="0"/>
          <w:sz w:val="20"/>
          <w:u w:val="none"/>
          <w:vertAlign w:val="baseline"/>
        </w:rPr>
        <w:t xml:space="preserve"> because there was no evidence of five or more knowing participants in the smuggling operation. He also alleges that he </w:t>
      </w:r>
      <w:r>
        <w:rPr>
          <w:rFonts w:ascii="arial" w:eastAsia="arial" w:hAnsi="arial" w:cs="arial"/>
          <w:b/>
          <w:i w:val="0"/>
          <w:strike w:val="0"/>
          <w:noProof w:val="0"/>
          <w:color w:val="000000"/>
          <w:position w:val="0"/>
          <w:sz w:val="20"/>
          <w:u w:val="none"/>
          <w:vertAlign w:val="baseline"/>
        </w:rPr>
        <w:t> [*224] </w:t>
      </w:r>
      <w:r>
        <w:rPr>
          <w:rFonts w:ascii="arial" w:eastAsia="arial" w:hAnsi="arial" w:cs="arial"/>
          <w:b w:val="0"/>
          <w:i w:val="0"/>
          <w:strike w:val="0"/>
          <w:noProof w:val="0"/>
          <w:color w:val="000000"/>
          <w:position w:val="0"/>
          <w:sz w:val="20"/>
          <w:u w:val="none"/>
          <w:vertAlign w:val="baseline"/>
        </w:rPr>
        <w:t xml:space="preserve"> was a low-level manager, rather than an organizer or</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leader, of the operation. Finally, Lopez-Perez avers that the adjustment rendered his sentence substantively unreasonable.</w:t>
      </w:r>
    </w:p>
    <w:p>
      <w:pPr>
        <w:keepNext w:val="0"/>
        <w:spacing w:before="200" w:after="0" w:line="260" w:lineRule="atLeast"/>
        <w:ind w:left="0" w:right="0" w:firstLine="0"/>
        <w:jc w:val="both"/>
      </w:pPr>
      <w:bookmarkStart w:id="34" w:name="Bookmark_para_5"/>
      <w:bookmarkEnd w:id="34"/>
      <w:bookmarkStart w:id="35" w:name="Bookmark_I5HM9MSK2SF8PH0020000400"/>
      <w:bookmarkEnd w:id="35"/>
      <w:bookmarkStart w:id="36" w:name="Bookmark_LNHNREFclscc1"/>
      <w:bookmarkEnd w:id="36"/>
      <w:hyperlink r:id="rId21"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38" type="#_x0000_t75" style="width:10.5pt;height:10.5pt">
              <v:imagedata r:id="rId22" o:title=""/>
            </v:shape>
          </w:pict>
        </w:r>
      </w:hyperlink>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Section 3B1.1(a)</w:t>
        </w:r>
      </w:hyperlink>
      <w:r>
        <w:rPr>
          <w:rFonts w:ascii="arial" w:eastAsia="arial" w:hAnsi="arial" w:cs="arial"/>
          <w:b w:val="0"/>
          <w:i w:val="0"/>
          <w:strike w:val="0"/>
          <w:noProof w:val="0"/>
          <w:color w:val="000000"/>
          <w:position w:val="0"/>
          <w:sz w:val="20"/>
          <w:u w:val="none"/>
          <w:vertAlign w:val="baseline"/>
        </w:rPr>
        <w:t xml:space="preserve"> provides for a four-level increase in the base offense level where "the defendant was an organizer or leader of a criminal activity that involved five or more participants or was otherwise extensive." </w:t>
      </w:r>
      <w:hyperlink r:id="rId12" w:history="1">
        <w:r>
          <w:rPr>
            <w:rFonts w:ascii="arial" w:eastAsia="arial" w:hAnsi="arial" w:cs="arial"/>
            <w:b w:val="0"/>
            <w:i/>
            <w:strike w:val="0"/>
            <w:noProof w:val="0"/>
            <w:color w:val="0077CC"/>
            <w:position w:val="0"/>
            <w:sz w:val="20"/>
            <w:u w:val="single"/>
            <w:vertAlign w:val="baseline"/>
          </w:rPr>
          <w:t>§ 3B1.1(a)</w:t>
        </w:r>
      </w:hyperlink>
      <w:r>
        <w:rPr>
          <w:rFonts w:ascii="arial" w:eastAsia="arial" w:hAnsi="arial" w:cs="arial"/>
          <w:b w:val="0"/>
          <w:i w:val="0"/>
          <w:strike w:val="0"/>
          <w:noProof w:val="0"/>
          <w:color w:val="000000"/>
          <w:position w:val="0"/>
          <w:sz w:val="20"/>
          <w:u w:val="none"/>
          <w:vertAlign w:val="baseline"/>
        </w:rPr>
        <w:t xml:space="preserve">. </w:t>
      </w:r>
      <w:bookmarkStart w:id="37" w:name="Bookmark_I5HM9MSK2SF8PH0040000400"/>
      <w:bookmarkEnd w:id="37"/>
      <w:bookmarkStart w:id="38" w:name="Bookmark_LNHNREFclscc2"/>
      <w:bookmarkEnd w:id="38"/>
      <w:hyperlink r:id="rId23" w:history="1">
        <w:r>
          <w:rPr>
            <w:rFonts w:ascii="arial" w:eastAsia="arial" w:hAnsi="arial" w:cs="arial"/>
            <w:b/>
            <w:i/>
            <w:strike w:val="0"/>
            <w:noProof w:val="0"/>
            <w:color w:val="0077CC"/>
            <w:position w:val="0"/>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39" type="#_x0000_t75" style="width:10.5pt;height:10.5pt">
              <v:imagedata r:id="rId22" o:title=""/>
            </v:shape>
          </w:pict>
        </w:r>
      </w:hyperlink>
      <w:r>
        <w:rPr>
          <w:rFonts w:ascii="arial" w:eastAsia="arial" w:hAnsi="arial" w:cs="arial"/>
          <w:b w:val="0"/>
          <w:i w:val="0"/>
          <w:strike w:val="0"/>
          <w:noProof w:val="0"/>
          <w:color w:val="000000"/>
          <w:position w:val="0"/>
          <w:sz w:val="20"/>
          <w:u w:val="none"/>
          <w:vertAlign w:val="baseline"/>
        </w:rPr>
        <w:t xml:space="preserve">] Whether a defendant is a leader for purposes of an adjustment under </w:t>
      </w:r>
      <w:hyperlink r:id="rId12" w:history="1">
        <w:r>
          <w:rPr>
            <w:rFonts w:ascii="arial" w:eastAsia="arial" w:hAnsi="arial" w:cs="arial"/>
            <w:b w:val="0"/>
            <w:i/>
            <w:strike w:val="0"/>
            <w:noProof w:val="0"/>
            <w:color w:val="0077CC"/>
            <w:position w:val="0"/>
            <w:sz w:val="20"/>
            <w:u w:val="single"/>
            <w:vertAlign w:val="baseline"/>
          </w:rPr>
          <w:t>Section 3B1.1(a)</w:t>
        </w:r>
      </w:hyperlink>
      <w:r>
        <w:rPr>
          <w:rFonts w:ascii="arial" w:eastAsia="arial" w:hAnsi="arial" w:cs="arial"/>
          <w:b w:val="0"/>
          <w:i w:val="0"/>
          <w:strike w:val="0"/>
          <w:noProof w:val="0"/>
          <w:color w:val="000000"/>
          <w:position w:val="0"/>
          <w:sz w:val="20"/>
          <w:u w:val="none"/>
          <w:vertAlign w:val="baseline"/>
        </w:rPr>
        <w:t xml:space="preserve"> is a finding of fact reviewed for clear error. </w:t>
      </w:r>
      <w:bookmarkStart w:id="39" w:name="Bookmark_I5HM9MSK2SF8PH0010000400"/>
      <w:bookmarkEnd w:id="39"/>
      <w:hyperlink r:id="rId24" w:history="1">
        <w:r>
          <w:rPr>
            <w:rFonts w:ascii="arial" w:eastAsia="arial" w:hAnsi="arial" w:cs="arial"/>
            <w:b w:val="0"/>
            <w:i/>
            <w:strike w:val="0"/>
            <w:noProof w:val="0"/>
            <w:color w:val="0077CC"/>
            <w:position w:val="0"/>
            <w:sz w:val="20"/>
            <w:u w:val="single"/>
            <w:vertAlign w:val="baseline"/>
          </w:rPr>
          <w:t>United States v. Gonzales</w:t>
        </w:r>
      </w:hyperlink>
      <w:hyperlink r:id="rId24" w:history="1">
        <w:r>
          <w:rPr>
            <w:rFonts w:ascii="arial" w:eastAsia="arial" w:hAnsi="arial" w:cs="arial"/>
            <w:b w:val="0"/>
            <w:i/>
            <w:strike w:val="0"/>
            <w:noProof w:val="0"/>
            <w:color w:val="0077CC"/>
            <w:position w:val="0"/>
            <w:sz w:val="20"/>
            <w:u w:val="single"/>
            <w:vertAlign w:val="baseline"/>
          </w:rPr>
          <w:t>, 436 F.3d 560, 584 (5th Cir. 2006)</w:t>
        </w:r>
      </w:hyperlink>
      <w:r>
        <w:rPr>
          <w:rFonts w:ascii="arial" w:eastAsia="arial" w:hAnsi="arial" w:cs="arial"/>
          <w:b w:val="0"/>
          <w:i w:val="0"/>
          <w:strike w:val="0"/>
          <w:noProof w:val="0"/>
          <w:color w:val="000000"/>
          <w:position w:val="0"/>
          <w:sz w:val="20"/>
          <w:u w:val="none"/>
          <w:vertAlign w:val="baseline"/>
        </w:rPr>
        <w:t xml:space="preserve">. </w:t>
      </w:r>
      <w:bookmarkStart w:id="40" w:name="Bookmark_I5HM9MSK2SF8PH0040000400_2"/>
      <w:bookmarkEnd w:id="40"/>
      <w:r>
        <w:rPr>
          <w:rFonts w:ascii="arial" w:eastAsia="arial" w:hAnsi="arial" w:cs="arial"/>
          <w:b w:val="0"/>
          <w:i w:val="0"/>
          <w:strike w:val="0"/>
          <w:noProof w:val="0"/>
          <w:color w:val="000000"/>
          <w:position w:val="0"/>
          <w:sz w:val="20"/>
          <w:u w:val="none"/>
          <w:vertAlign w:val="baseline"/>
        </w:rPr>
        <w:t xml:space="preserve">A factual finding is not clearly erroneous so long as it is "plausible in light of the record as a whole." </w:t>
      </w:r>
      <w:bookmarkStart w:id="41" w:name="Bookmark_I5HM9MSK2SF8PH0030000400"/>
      <w:bookmarkEnd w:id="41"/>
      <w:hyperlink r:id="rId25" w:history="1">
        <w:r>
          <w:rPr>
            <w:rFonts w:ascii="arial" w:eastAsia="arial" w:hAnsi="arial" w:cs="arial"/>
            <w:b w:val="0"/>
            <w:i/>
            <w:strike w:val="0"/>
            <w:noProof w:val="0"/>
            <w:color w:val="0077CC"/>
            <w:position w:val="0"/>
            <w:sz w:val="20"/>
            <w:u w:val="single"/>
            <w:vertAlign w:val="baseline"/>
          </w:rPr>
          <w:t>United States v. Njoku</w:t>
        </w:r>
      </w:hyperlink>
      <w:hyperlink r:id="rId25" w:history="1">
        <w:r>
          <w:rPr>
            <w:rFonts w:ascii="arial" w:eastAsia="arial" w:hAnsi="arial" w:cs="arial"/>
            <w:b w:val="0"/>
            <w:i/>
            <w:strike w:val="0"/>
            <w:noProof w:val="0"/>
            <w:color w:val="0077CC"/>
            <w:position w:val="0"/>
            <w:sz w:val="20"/>
            <w:u w:val="single"/>
            <w:vertAlign w:val="baseline"/>
          </w:rPr>
          <w:t>, 737 F.3d 55, 77 (5th Cir. 2013)</w:t>
        </w:r>
      </w:hyperlink>
      <w:r>
        <w:rPr>
          <w:rFonts w:ascii="arial" w:eastAsia="arial" w:hAnsi="arial" w:cs="arial"/>
          <w:b w:val="0"/>
          <w:i w:val="0"/>
          <w:strike w:val="0"/>
          <w:noProof w:val="0"/>
          <w:color w:val="000000"/>
          <w:position w:val="0"/>
          <w:sz w:val="20"/>
          <w:u w:val="none"/>
          <w:vertAlign w:val="baseline"/>
        </w:rPr>
        <w:t xml:space="preserve"> (citation and quotation marks omitted), </w:t>
      </w:r>
      <w:r>
        <w:rPr>
          <w:rFonts w:ascii="arial" w:eastAsia="arial" w:hAnsi="arial" w:cs="arial"/>
          <w:b w:val="0"/>
          <w:i/>
          <w:strike w:val="0"/>
          <w:noProof w:val="0"/>
          <w:color w:val="000000"/>
          <w:position w:val="0"/>
          <w:sz w:val="20"/>
          <w:u w:val="none"/>
          <w:vertAlign w:val="baseline"/>
        </w:rPr>
        <w:t>cert. denied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134 S. Ct. 2319, 189 L. Ed. 2d 196 (2014)</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2" w:name="Bookmark_para_6"/>
      <w:bookmarkEnd w:id="42"/>
      <w:bookmarkStart w:id="43" w:name="Bookmark_LNHNREFclscc3"/>
      <w:bookmarkEnd w:id="43"/>
      <w:hyperlink r:id="rId26"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40" type="#_x0000_t75" style="width:10.5pt;height:10.5pt">
              <v:imagedata r:id="rId22" o:title=""/>
            </v:shape>
          </w:pict>
        </w:r>
      </w:hyperlink>
      <w:r>
        <w:rPr>
          <w:rFonts w:ascii="arial" w:eastAsia="arial" w:hAnsi="arial" w:cs="arial"/>
          <w:b w:val="0"/>
          <w:i w:val="0"/>
          <w:strike w:val="0"/>
          <w:noProof w:val="0"/>
          <w:color w:val="000000"/>
          <w:position w:val="0"/>
          <w:sz w:val="20"/>
          <w:u w:val="none"/>
          <w:vertAlign w:val="baseline"/>
        </w:rPr>
        <w:t xml:space="preserve">] The Guidelines define a participant as "a person who is criminally responsible for the commission of the offense, but need not have been convicted." </w:t>
      </w:r>
      <w:hyperlink r:id="rId12" w:history="1">
        <w:r>
          <w:rPr>
            <w:rFonts w:ascii="arial" w:eastAsia="arial" w:hAnsi="arial" w:cs="arial"/>
            <w:b w:val="0"/>
            <w:i/>
            <w:strike w:val="0"/>
            <w:noProof w:val="0"/>
            <w:color w:val="0077CC"/>
            <w:position w:val="0"/>
            <w:sz w:val="20"/>
            <w:u w:val="single"/>
            <w:vertAlign w:val="baseline"/>
          </w:rPr>
          <w:t>§ 3B1.1 cmt. n.1</w:t>
        </w:r>
      </w:hyperlink>
      <w:r>
        <w:rPr>
          <w:rFonts w:ascii="arial" w:eastAsia="arial" w:hAnsi="arial" w:cs="arial"/>
          <w:b w:val="0"/>
          <w:i w:val="0"/>
          <w:strike w:val="0"/>
          <w:noProof w:val="0"/>
          <w:color w:val="000000"/>
          <w:position w:val="0"/>
          <w:sz w:val="20"/>
          <w:u w:val="none"/>
          <w:vertAlign w:val="baseline"/>
        </w:rPr>
        <w:t xml:space="preserve">. Lopez-Perez recruited and paid individuals to receive domestic and international wire transfers related to the smuggling operation. Two individuals, Viridiana Lopez and Jose Daniel Salazar-Ambrosio (participants #1 and #2), confirmed their knowledge of his involvement in an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operation. Lopez-Perez paid Salazar to monitor the undocumented aliens at a stash house. When Salazar was unavailable, another man (participant</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#3) would watch over the aliens. In addition, every several weeks, an unknown person (participant #4) dropped off and picked up approximately four to six undocumented aliens from the house. </w:t>
      </w:r>
      <w:bookmarkStart w:id="44" w:name="Bookmark_I5HM9MSK28T5090010000400"/>
      <w:bookmarkEnd w:id="44"/>
      <w:r>
        <w:rPr>
          <w:rFonts w:ascii="arial" w:eastAsia="arial" w:hAnsi="arial" w:cs="arial"/>
          <w:b w:val="0"/>
          <w:i w:val="0"/>
          <w:strike w:val="0"/>
          <w:noProof w:val="0"/>
          <w:color w:val="000000"/>
          <w:position w:val="0"/>
          <w:sz w:val="20"/>
          <w:u w:val="none"/>
          <w:vertAlign w:val="baseline"/>
        </w:rPr>
        <w:t xml:space="preserve">Agents also discovered text messages to Lopez-Perez from an unknown individual (participant #5) inquiring about money, the moving of people, and the crossing of the Rio Grande. Finally, Lopez-Perez, himself, may be counted as a participant in the criminal activity (participant #6). </w:t>
      </w:r>
      <w:bookmarkStart w:id="45" w:name="Bookmark_I5HM9MSK2SF8PH0050000400"/>
      <w:bookmarkEnd w:id="45"/>
      <w:hyperlink r:id="rId27" w:history="1">
        <w:r>
          <w:rPr>
            <w:rFonts w:ascii="arial" w:eastAsia="arial" w:hAnsi="arial" w:cs="arial"/>
            <w:b w:val="0"/>
            <w:i/>
            <w:strike w:val="0"/>
            <w:noProof w:val="0"/>
            <w:color w:val="0077CC"/>
            <w:position w:val="0"/>
            <w:sz w:val="20"/>
            <w:u w:val="single"/>
            <w:vertAlign w:val="baseline"/>
          </w:rPr>
          <w:t>United States v. Barbontin</w:t>
        </w:r>
      </w:hyperlink>
      <w:hyperlink r:id="rId27" w:history="1">
        <w:r>
          <w:rPr>
            <w:rFonts w:ascii="arial" w:eastAsia="arial" w:hAnsi="arial" w:cs="arial"/>
            <w:b w:val="0"/>
            <w:i/>
            <w:strike w:val="0"/>
            <w:noProof w:val="0"/>
            <w:color w:val="0077CC"/>
            <w:position w:val="0"/>
            <w:sz w:val="20"/>
            <w:u w:val="single"/>
            <w:vertAlign w:val="baseline"/>
          </w:rPr>
          <w:t>, 907 F.2d 1494, 1498 (5th Cir. 1990)</w:t>
        </w:r>
      </w:hyperlink>
      <w:r>
        <w:rPr>
          <w:rFonts w:ascii="arial" w:eastAsia="arial" w:hAnsi="arial" w:cs="arial"/>
          <w:b w:val="0"/>
          <w:i w:val="0"/>
          <w:strike w:val="0"/>
          <w:noProof w:val="0"/>
          <w:color w:val="000000"/>
          <w:position w:val="0"/>
          <w:sz w:val="20"/>
          <w:u w:val="none"/>
          <w:vertAlign w:val="baseline"/>
        </w:rPr>
        <w:t xml:space="preserve">. </w:t>
      </w:r>
      <w:bookmarkStart w:id="46" w:name="Bookmark_I5HM9MSK28T5090030000400"/>
      <w:bookmarkEnd w:id="46"/>
      <w:r>
        <w:rPr>
          <w:rFonts w:ascii="arial" w:eastAsia="arial" w:hAnsi="arial" w:cs="arial"/>
          <w:b w:val="0"/>
          <w:i w:val="0"/>
          <w:strike w:val="0"/>
          <w:noProof w:val="0"/>
          <w:color w:val="000000"/>
          <w:position w:val="0"/>
          <w:sz w:val="20"/>
          <w:u w:val="none"/>
          <w:vertAlign w:val="baseline"/>
        </w:rPr>
        <w:t xml:space="preserve">Therefore, the evidence established at least five knowing participants in the smuggling operation. Moreover, the remaining individuals who received the wire transfers were recruited either directly by Lopez-Perez or through individuals directly associated with him. Given that several of these people stated that "Amigo," later identified as Lopez-Perez, would pay them for their services, the district court's finding that they were aware or suspected that the wire transfers were related to criminal activity was plausible in light of the record as a whole. </w:t>
      </w:r>
      <w:r>
        <w:rPr>
          <w:rFonts w:ascii="arial" w:eastAsia="arial" w:hAnsi="arial" w:cs="arial"/>
          <w:b w:val="0"/>
          <w:i/>
          <w:strike w:val="0"/>
          <w:noProof w:val="0"/>
          <w:color w:val="000000"/>
          <w:position w:val="0"/>
          <w:sz w:val="20"/>
          <w:u w:val="none"/>
          <w:vertAlign w:val="baseline"/>
        </w:rPr>
        <w:t xml:space="preserve">See </w:t>
      </w:r>
      <w:bookmarkStart w:id="47" w:name="Bookmark_I5HM9MSK28T5090020000400"/>
      <w:bookmarkEnd w:id="47"/>
      <w:hyperlink r:id="rId25" w:history="1">
        <w:r>
          <w:rPr>
            <w:rFonts w:ascii="arial" w:eastAsia="arial" w:hAnsi="arial" w:cs="arial"/>
            <w:b w:val="0"/>
            <w:i/>
            <w:strike w:val="0"/>
            <w:noProof w:val="0"/>
            <w:color w:val="0077CC"/>
            <w:position w:val="0"/>
            <w:sz w:val="20"/>
            <w:u w:val="single"/>
            <w:vertAlign w:val="baseline"/>
          </w:rPr>
          <w:t>Njoku</w:t>
        </w:r>
      </w:hyperlink>
      <w:hyperlink r:id="rId25" w:history="1">
        <w:r>
          <w:rPr>
            <w:rFonts w:ascii="arial" w:eastAsia="arial" w:hAnsi="arial" w:cs="arial"/>
            <w:b w:val="0"/>
            <w:i/>
            <w:strike w:val="0"/>
            <w:noProof w:val="0"/>
            <w:color w:val="0077CC"/>
            <w:position w:val="0"/>
            <w:sz w:val="20"/>
            <w:u w:val="single"/>
            <w:vertAlign w:val="baseline"/>
          </w:rPr>
          <w:t>, 737 F.3d at 77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8" w:name="Bookmark_para_7"/>
      <w:bookmarkEnd w:id="48"/>
      <w:bookmarkStart w:id="49" w:name="Bookmark_I5HM9MSK28T5090050000400"/>
      <w:bookmarkEnd w:id="49"/>
      <w:bookmarkStart w:id="50" w:name="Bookmark_LNHNREFclscc4"/>
      <w:bookmarkEnd w:id="50"/>
      <w:hyperlink r:id="rId28"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41" type="#_x0000_t75" style="width:10.5pt;height:10.5pt">
              <v:imagedata r:id="rId22" o:title=""/>
            </v:shape>
          </w:pict>
        </w:r>
      </w:hyperlink>
      <w:r>
        <w:rPr>
          <w:rFonts w:ascii="arial" w:eastAsia="arial" w:hAnsi="arial" w:cs="arial"/>
          <w:b w:val="0"/>
          <w:i w:val="0"/>
          <w:strike w:val="0"/>
          <w:noProof w:val="0"/>
          <w:color w:val="000000"/>
          <w:position w:val="0"/>
          <w:sz w:val="20"/>
          <w:u w:val="none"/>
          <w:vertAlign w:val="baseline"/>
        </w:rPr>
        <w:t xml:space="preserve">] This court also may affirm on any alternative ground apparent from the record. </w:t>
      </w:r>
      <w:bookmarkStart w:id="51" w:name="Bookmark_I5HM9MSK28T5090040000400"/>
      <w:bookmarkEnd w:id="51"/>
      <w:hyperlink r:id="rId29" w:history="1">
        <w:r>
          <w:rPr>
            <w:rFonts w:ascii="arial" w:eastAsia="arial" w:hAnsi="arial" w:cs="arial"/>
            <w:b w:val="0"/>
            <w:i/>
            <w:strike w:val="0"/>
            <w:noProof w:val="0"/>
            <w:color w:val="0077CC"/>
            <w:position w:val="0"/>
            <w:sz w:val="20"/>
            <w:u w:val="single"/>
            <w:vertAlign w:val="baseline"/>
          </w:rPr>
          <w:t>Sojourner T v. Edwards</w:t>
        </w:r>
      </w:hyperlink>
      <w:hyperlink r:id="rId29" w:history="1">
        <w:r>
          <w:rPr>
            <w:rFonts w:ascii="arial" w:eastAsia="arial" w:hAnsi="arial" w:cs="arial"/>
            <w:b w:val="0"/>
            <w:i/>
            <w:strike w:val="0"/>
            <w:noProof w:val="0"/>
            <w:color w:val="0077CC"/>
            <w:position w:val="0"/>
            <w:sz w:val="20"/>
            <w:u w:val="single"/>
            <w:vertAlign w:val="baseline"/>
          </w:rPr>
          <w:t>, 974 F.2d 27, 30 (5th Cir. 1992)</w:t>
        </w:r>
      </w:hyperlink>
      <w:r>
        <w:rPr>
          <w:rFonts w:ascii="arial" w:eastAsia="arial" w:hAnsi="arial" w:cs="arial"/>
          <w:b w:val="0"/>
          <w:i w:val="0"/>
          <w:strike w:val="0"/>
          <w:noProof w:val="0"/>
          <w:color w:val="000000"/>
          <w:position w:val="0"/>
          <w:sz w:val="20"/>
          <w:u w:val="none"/>
          <w:vertAlign w:val="baseline"/>
        </w:rPr>
        <w:t xml:space="preserve">. </w:t>
      </w:r>
      <w:bookmarkStart w:id="52" w:name="Bookmark_I5HM9MSK2N1R580020000400"/>
      <w:bookmarkEnd w:id="52"/>
      <w:bookmarkStart w:id="53" w:name="Bookmark_LNHNREFclscc5"/>
      <w:bookmarkEnd w:id="53"/>
      <w:hyperlink r:id="rId30" w:history="1">
        <w:r>
          <w:rPr>
            <w:rFonts w:ascii="arial" w:eastAsia="arial" w:hAnsi="arial" w:cs="arial"/>
            <w:b/>
            <w:i/>
            <w:strike w:val="0"/>
            <w:noProof w:val="0"/>
            <w:color w:val="0077CC"/>
            <w:position w:val="0"/>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42" type="#_x0000_t75" style="width:10.5pt;height:10.5pt">
              <v:imagedata r:id="rId22" o:title=""/>
            </v:shape>
          </w:pict>
        </w:r>
      </w:hyperlink>
      <w:r>
        <w:rPr>
          <w:rFonts w:ascii="arial" w:eastAsia="arial" w:hAnsi="arial" w:cs="arial"/>
          <w:b w:val="0"/>
          <w:i w:val="0"/>
          <w:strike w:val="0"/>
          <w:noProof w:val="0"/>
          <w:color w:val="000000"/>
          <w:position w:val="0"/>
          <w:sz w:val="20"/>
          <w:u w:val="none"/>
          <w:vertAlign w:val="baseline"/>
        </w:rPr>
        <w:t xml:space="preserve">] Regardless of whether there were five or more knowing participants, the </w:t>
      </w:r>
      <w:hyperlink r:id="rId12" w:history="1">
        <w:r>
          <w:rPr>
            <w:rFonts w:ascii="arial" w:eastAsia="arial" w:hAnsi="arial" w:cs="arial"/>
            <w:b w:val="0"/>
            <w:i/>
            <w:strike w:val="0"/>
            <w:noProof w:val="0"/>
            <w:color w:val="0077CC"/>
            <w:position w:val="0"/>
            <w:sz w:val="20"/>
            <w:u w:val="single"/>
            <w:vertAlign w:val="baseline"/>
          </w:rPr>
          <w:t>Section 3B1.1(a)</w:t>
        </w:r>
      </w:hyperlink>
      <w:r>
        <w:rPr>
          <w:rFonts w:ascii="arial" w:eastAsia="arial" w:hAnsi="arial" w:cs="arial"/>
          <w:b w:val="0"/>
          <w:i w:val="0"/>
          <w:strike w:val="0"/>
          <w:noProof w:val="0"/>
          <w:color w:val="000000"/>
          <w:position w:val="0"/>
          <w:sz w:val="20"/>
          <w:u w:val="none"/>
          <w:vertAlign w:val="baseline"/>
        </w:rPr>
        <w:t xml:space="preserve"> adjustment</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applies when the criminal activity was "otherwise extensive." According to the commentary, "[i]n assessing whether an organization is 'otherwise extensive,' all persons involved during the course of the entire offense are to be considered" even if the criminal operation used the "unknowing services of many outsiders." </w:t>
      </w:r>
      <w:hyperlink r:id="rId12" w:history="1">
        <w:r>
          <w:rPr>
            <w:rFonts w:ascii="arial" w:eastAsia="arial" w:hAnsi="arial" w:cs="arial"/>
            <w:b w:val="0"/>
            <w:i/>
            <w:strike w:val="0"/>
            <w:noProof w:val="0"/>
            <w:color w:val="0077CC"/>
            <w:position w:val="0"/>
            <w:sz w:val="20"/>
            <w:u w:val="single"/>
            <w:vertAlign w:val="baseline"/>
          </w:rPr>
          <w:t>§ 3B1.1 cmt n.3</w:t>
        </w:r>
      </w:hyperlink>
      <w:r>
        <w:rPr>
          <w:rFonts w:ascii="arial" w:eastAsia="arial" w:hAnsi="arial" w:cs="arial"/>
          <w:b w:val="0"/>
          <w:i w:val="0"/>
          <w:strike w:val="0"/>
          <w:noProof w:val="0"/>
          <w:color w:val="000000"/>
          <w:position w:val="0"/>
          <w:sz w:val="20"/>
          <w:u w:val="none"/>
          <w:vertAlign w:val="baseline"/>
        </w:rPr>
        <w:t xml:space="preserve">. </w:t>
      </w:r>
      <w:bookmarkStart w:id="54" w:name="Bookmark_I5HM9MSK2N1R580020000400_2"/>
      <w:bookmarkEnd w:id="54"/>
      <w:r>
        <w:rPr>
          <w:rFonts w:ascii="arial" w:eastAsia="arial" w:hAnsi="arial" w:cs="arial"/>
          <w:b w:val="0"/>
          <w:i w:val="0"/>
          <w:strike w:val="0"/>
          <w:noProof w:val="0"/>
          <w:color w:val="000000"/>
          <w:position w:val="0"/>
          <w:sz w:val="20"/>
          <w:u w:val="none"/>
          <w:vertAlign w:val="baseline"/>
        </w:rPr>
        <w:t xml:space="preserve">Therefore, even assuming that the individuals who received the wire transfers were unaware of participating in criminal acts, the smuggling operation relied on their services and, thus, the district court did not clearly err in applying the leadership-role adjustment. </w:t>
      </w:r>
      <w:r>
        <w:rPr>
          <w:rFonts w:ascii="arial" w:eastAsia="arial" w:hAnsi="arial" w:cs="arial"/>
          <w:b w:val="0"/>
          <w:i/>
          <w:strike w:val="0"/>
          <w:noProof w:val="0"/>
          <w:color w:val="000000"/>
          <w:position w:val="0"/>
          <w:sz w:val="20"/>
          <w:u w:val="none"/>
          <w:vertAlign w:val="baseline"/>
        </w:rPr>
        <w:t xml:space="preserve">See </w:t>
      </w:r>
      <w:bookmarkStart w:id="55" w:name="Bookmark_I5HM9MSK2N1R580010000400"/>
      <w:bookmarkEnd w:id="55"/>
      <w:hyperlink r:id="rId31" w:history="1">
        <w:r>
          <w:rPr>
            <w:rFonts w:ascii="arial" w:eastAsia="arial" w:hAnsi="arial" w:cs="arial"/>
            <w:b w:val="0"/>
            <w:i/>
            <w:strike w:val="0"/>
            <w:noProof w:val="0"/>
            <w:color w:val="0077CC"/>
            <w:position w:val="0"/>
            <w:sz w:val="20"/>
            <w:u w:val="single"/>
            <w:vertAlign w:val="baseline"/>
          </w:rPr>
          <w:t>United States v. Glinsey</w:t>
        </w:r>
      </w:hyperlink>
      <w:hyperlink r:id="rId31" w:history="1">
        <w:r>
          <w:rPr>
            <w:rFonts w:ascii="arial" w:eastAsia="arial" w:hAnsi="arial" w:cs="arial"/>
            <w:b w:val="0"/>
            <w:i/>
            <w:strike w:val="0"/>
            <w:noProof w:val="0"/>
            <w:color w:val="0077CC"/>
            <w:position w:val="0"/>
            <w:sz w:val="20"/>
            <w:u w:val="single"/>
            <w:vertAlign w:val="baseline"/>
          </w:rPr>
          <w:t>, 209 F.3d 386, 396 (5th Cir. 2000)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6" w:name="Bookmark_para_8"/>
      <w:bookmarkEnd w:id="56"/>
      <w:bookmarkStart w:id="57" w:name="Bookmark_I5HM9MSK2N1R580040000400"/>
      <w:bookmarkEnd w:id="57"/>
      <w:bookmarkStart w:id="58" w:name="Bookmark_LNHNREFclscc6"/>
      <w:bookmarkEnd w:id="58"/>
      <w:hyperlink r:id="rId32"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clscc6" w:history="1">
        <w:r>
          <w:pict>
            <v:shape id="_x0000_i1043" type="#_x0000_t75" style="width:10.5pt;height:10.5pt">
              <v:imagedata r:id="rId22" o:title=""/>
            </v:shape>
          </w:pict>
        </w:r>
      </w:hyperlink>
      <w:r>
        <w:rPr>
          <w:rFonts w:ascii="arial" w:eastAsia="arial" w:hAnsi="arial" w:cs="arial"/>
          <w:b w:val="0"/>
          <w:i w:val="0"/>
          <w:strike w:val="0"/>
          <w:noProof w:val="0"/>
          <w:color w:val="000000"/>
          <w:position w:val="0"/>
          <w:sz w:val="20"/>
          <w:u w:val="none"/>
          <w:vertAlign w:val="baseline"/>
        </w:rPr>
        <w:t xml:space="preserve">] Lopez-Perez did not argue in the district court that he was only a manager and that the leadership-role adjustment rendered his sentence substantively unreasonable. </w:t>
      </w:r>
      <w:r>
        <w:rPr>
          <w:rFonts w:ascii="arial" w:eastAsia="arial" w:hAnsi="arial" w:cs="arial"/>
          <w:b/>
          <w:i w:val="0"/>
          <w:strike w:val="0"/>
          <w:noProof w:val="0"/>
          <w:color w:val="000000"/>
          <w:position w:val="0"/>
          <w:sz w:val="20"/>
          <w:u w:val="none"/>
          <w:vertAlign w:val="baseline"/>
        </w:rPr>
        <w:t> [*225] </w:t>
      </w:r>
      <w:r>
        <w:rPr>
          <w:rFonts w:ascii="arial" w:eastAsia="arial" w:hAnsi="arial" w:cs="arial"/>
          <w:b w:val="0"/>
          <w:i w:val="0"/>
          <w:strike w:val="0"/>
          <w:noProof w:val="0"/>
          <w:color w:val="000000"/>
          <w:position w:val="0"/>
          <w:sz w:val="20"/>
          <w:u w:val="none"/>
          <w:vertAlign w:val="baseline"/>
        </w:rPr>
        <w:t xml:space="preserve"> Therefore, we will review these arguments for plain error. </w:t>
      </w:r>
      <w:r>
        <w:rPr>
          <w:rFonts w:ascii="arial" w:eastAsia="arial" w:hAnsi="arial" w:cs="arial"/>
          <w:b w:val="0"/>
          <w:i/>
          <w:strike w:val="0"/>
          <w:noProof w:val="0"/>
          <w:color w:val="000000"/>
          <w:position w:val="0"/>
          <w:sz w:val="20"/>
          <w:u w:val="none"/>
          <w:vertAlign w:val="baseline"/>
        </w:rPr>
        <w:t xml:space="preserve">See </w:t>
      </w:r>
      <w:bookmarkStart w:id="59" w:name="Bookmark_I5HM9MSK2N1R580030000400"/>
      <w:bookmarkEnd w:id="59"/>
      <w:hyperlink r:id="rId33" w:history="1">
        <w:r>
          <w:rPr>
            <w:rFonts w:ascii="arial" w:eastAsia="arial" w:hAnsi="arial" w:cs="arial"/>
            <w:b w:val="0"/>
            <w:i/>
            <w:strike w:val="0"/>
            <w:noProof w:val="0"/>
            <w:color w:val="0077CC"/>
            <w:position w:val="0"/>
            <w:sz w:val="20"/>
            <w:u w:val="single"/>
            <w:vertAlign w:val="baseline"/>
          </w:rPr>
          <w:t>Puckett v. United States</w:t>
        </w:r>
      </w:hyperlink>
      <w:hyperlink r:id="rId33" w:history="1">
        <w:r>
          <w:rPr>
            <w:rFonts w:ascii="arial" w:eastAsia="arial" w:hAnsi="arial" w:cs="arial"/>
            <w:b w:val="0"/>
            <w:i/>
            <w:strike w:val="0"/>
            <w:noProof w:val="0"/>
            <w:color w:val="0077CC"/>
            <w:position w:val="0"/>
            <w:sz w:val="20"/>
            <w:u w:val="single"/>
            <w:vertAlign w:val="baseline"/>
          </w:rPr>
          <w:t>, 556 U.S. 129, 135, 129 S. Ct. 1423, 173 L. Ed. 2d 266 (2009)</w:t>
        </w:r>
      </w:hyperlink>
      <w:r>
        <w:rPr>
          <w:rFonts w:ascii="arial" w:eastAsia="arial" w:hAnsi="arial" w:cs="arial"/>
          <w:b w:val="0"/>
          <w:i w:val="0"/>
          <w:strike w:val="0"/>
          <w:noProof w:val="0"/>
          <w:color w:val="000000"/>
          <w:position w:val="0"/>
          <w:sz w:val="20"/>
          <w:u w:val="none"/>
          <w:vertAlign w:val="baseline"/>
        </w:rPr>
        <w:t xml:space="preserve">. </w:t>
      </w:r>
      <w:bookmarkStart w:id="60" w:name="Bookmark_LNHNREFclscc7"/>
      <w:bookmarkEnd w:id="60"/>
      <w:hyperlink r:id="rId34" w:history="1">
        <w:r>
          <w:rPr>
            <w:rFonts w:ascii="arial" w:eastAsia="arial" w:hAnsi="arial" w:cs="arial"/>
            <w:b/>
            <w:i/>
            <w:strike w:val="0"/>
            <w:noProof w:val="0"/>
            <w:color w:val="0077CC"/>
            <w:position w:val="0"/>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clscc7" w:history="1">
        <w:r>
          <w:pict>
            <v:shape id="_x0000_i1044" type="#_x0000_t75" style="width:10.5pt;height:10.5pt">
              <v:imagedata r:id="rId22" o:title=""/>
            </v:shape>
          </w:pict>
        </w:r>
      </w:hyperlink>
      <w:r>
        <w:rPr>
          <w:rFonts w:ascii="arial" w:eastAsia="arial" w:hAnsi="arial" w:cs="arial"/>
          <w:b w:val="0"/>
          <w:i w:val="0"/>
          <w:strike w:val="0"/>
          <w:noProof w:val="0"/>
          <w:color w:val="000000"/>
          <w:position w:val="0"/>
          <w:sz w:val="20"/>
          <w:u w:val="none"/>
          <w:vertAlign w:val="baseline"/>
        </w:rPr>
        <w:t xml:space="preserve">] Plain error requires an error that is clear or obvious and affects a defendant's substantial rights.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If those requirements are met, we have the discretion to correct the error if it "seriously affect[s] the fairness, integrity or public reputation of judicial proceedings."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(citation and quotation marks omitted).</w:t>
      </w:r>
    </w:p>
    <w:p>
      <w:pPr>
        <w:keepNext w:val="0"/>
        <w:spacing w:before="240" w:after="0" w:line="260" w:lineRule="atLeast"/>
        <w:ind w:left="0" w:right="0" w:firstLine="0"/>
        <w:jc w:val="both"/>
      </w:pPr>
      <w:bookmarkStart w:id="61" w:name="Bookmark_para_9"/>
      <w:bookmarkEnd w:id="61"/>
      <w:bookmarkStart w:id="62" w:name="Bookmark_I5HM9MSK2N1R590010000400"/>
      <w:bookmarkEnd w:id="62"/>
      <w:bookmarkStart w:id="63" w:name="Bookmark_LNHNREFclscc8"/>
      <w:bookmarkEnd w:id="63"/>
      <w:hyperlink r:id="rId35"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clscc8" w:history="1">
        <w:r>
          <w:pict>
            <v:shape id="_x0000_i1045" type="#_x0000_t75" style="width:10.5pt;height:10.5pt">
              <v:imagedata r:id="rId22" o:title=""/>
            </v:shape>
          </w:pict>
        </w:r>
      </w:hyperlink>
      <w:r>
        <w:rPr>
          <w:rFonts w:ascii="arial" w:eastAsia="arial" w:hAnsi="arial" w:cs="arial"/>
          <w:b w:val="0"/>
          <w:i w:val="0"/>
          <w:strike w:val="0"/>
          <w:noProof w:val="0"/>
          <w:color w:val="000000"/>
          <w:position w:val="0"/>
          <w:sz w:val="20"/>
          <w:u w:val="none"/>
          <w:vertAlign w:val="baseline"/>
        </w:rPr>
        <w:t>] In determining whether a defendant was a leader, a</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court should consider, among other things, the exercise of decision-making authority, the nature and scope of illegal activity, the nature of participation, the degree of participation in planning or organizing the offense, the recruitment of accomplices, the claimed right to a larger share of the fruits of the crime, and the degree of control and authority over others. </w:t>
      </w:r>
      <w:bookmarkStart w:id="64" w:name="Bookmark_I5HM9MSK2N1R580050000400"/>
      <w:bookmarkEnd w:id="64"/>
      <w:hyperlink r:id="rId36" w:history="1">
        <w:r>
          <w:rPr>
            <w:rFonts w:ascii="arial" w:eastAsia="arial" w:hAnsi="arial" w:cs="arial"/>
            <w:b w:val="0"/>
            <w:i/>
            <w:strike w:val="0"/>
            <w:noProof w:val="0"/>
            <w:color w:val="0077CC"/>
            <w:position w:val="0"/>
            <w:sz w:val="20"/>
            <w:u w:val="single"/>
            <w:vertAlign w:val="baseline"/>
          </w:rPr>
          <w:t>United States v. Valdez</w:t>
        </w:r>
      </w:hyperlink>
      <w:hyperlink r:id="rId36" w:history="1">
        <w:r>
          <w:rPr>
            <w:rFonts w:ascii="arial" w:eastAsia="arial" w:hAnsi="arial" w:cs="arial"/>
            <w:b w:val="0"/>
            <w:i/>
            <w:strike w:val="0"/>
            <w:noProof w:val="0"/>
            <w:color w:val="0077CC"/>
            <w:position w:val="0"/>
            <w:sz w:val="20"/>
            <w:u w:val="single"/>
            <w:vertAlign w:val="baseline"/>
          </w:rPr>
          <w:t>, 453 F.3d 252, 262-63 (5th Cir. 2006)</w:t>
        </w:r>
      </w:hyperlink>
      <w:r>
        <w:rPr>
          <w:rFonts w:ascii="arial" w:eastAsia="arial" w:hAnsi="arial" w:cs="arial"/>
          <w:b w:val="0"/>
          <w:i w:val="0"/>
          <w:strike w:val="0"/>
          <w:noProof w:val="0"/>
          <w:color w:val="000000"/>
          <w:position w:val="0"/>
          <w:sz w:val="20"/>
          <w:u w:val="none"/>
          <w:vertAlign w:val="baseline"/>
        </w:rPr>
        <w:t xml:space="preserve"> (quoting </w:t>
      </w:r>
      <w:hyperlink r:id="rId12" w:history="1">
        <w:r>
          <w:rPr>
            <w:rFonts w:ascii="arial" w:eastAsia="arial" w:hAnsi="arial" w:cs="arial"/>
            <w:b w:val="0"/>
            <w:i/>
            <w:strike w:val="0"/>
            <w:noProof w:val="0"/>
            <w:color w:val="0077CC"/>
            <w:position w:val="0"/>
            <w:sz w:val="20"/>
            <w:u w:val="single"/>
            <w:vertAlign w:val="baseline"/>
          </w:rPr>
          <w:t>§ 3B1.1, cmt n.4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5" w:name="Bookmark_para_10"/>
      <w:bookmarkEnd w:id="65"/>
      <w:r>
        <w:rPr>
          <w:rFonts w:ascii="arial" w:eastAsia="arial" w:hAnsi="arial" w:cs="arial"/>
          <w:b w:val="0"/>
          <w:i w:val="0"/>
          <w:strike w:val="0"/>
          <w:noProof w:val="0"/>
          <w:color w:val="000000"/>
          <w:position w:val="0"/>
          <w:sz w:val="20"/>
          <w:u w:val="none"/>
          <w:vertAlign w:val="baseline"/>
        </w:rPr>
        <w:t xml:space="preserve">Lopez-Perez recruited, paid, and transported individuals to receive international and domestic wire transfers. Homeland Security Investigations agents confirmed that he was responsible for 121 transactions in which over $100,000 was transmitted to pay smuggling fees. Lopez-Perez paid an individual to monitor the stash house and delivered food and drinks for the aliens. </w:t>
      </w:r>
      <w:bookmarkStart w:id="66" w:name="Bookmark_I5HM9MSK2N1R590030000400"/>
      <w:bookmarkEnd w:id="66"/>
      <w:r>
        <w:rPr>
          <w:rFonts w:ascii="arial" w:eastAsia="arial" w:hAnsi="arial" w:cs="arial"/>
          <w:b w:val="0"/>
          <w:i w:val="0"/>
          <w:strike w:val="0"/>
          <w:noProof w:val="0"/>
          <w:color w:val="000000"/>
          <w:position w:val="0"/>
          <w:sz w:val="20"/>
          <w:u w:val="none"/>
          <w:vertAlign w:val="baseline"/>
        </w:rPr>
        <w:t xml:space="preserve">He also received text messages inquiring about money, the moving of people, and the crossing of the Rio Grande. Based on this evidence, the district court did not plainly err in finding that Lopez-Perez was an organizer or leader of the smuggling operation. </w:t>
      </w:r>
      <w:r>
        <w:rPr>
          <w:rFonts w:ascii="arial" w:eastAsia="arial" w:hAnsi="arial" w:cs="arial"/>
          <w:b w:val="0"/>
          <w:i/>
          <w:strike w:val="0"/>
          <w:noProof w:val="0"/>
          <w:color w:val="000000"/>
          <w:position w:val="0"/>
          <w:sz w:val="20"/>
          <w:u w:val="none"/>
          <w:vertAlign w:val="baseline"/>
        </w:rPr>
        <w:t xml:space="preserve">See </w:t>
      </w:r>
      <w:bookmarkStart w:id="67" w:name="Bookmark_I5HM9MSK2N1R590020000400"/>
      <w:bookmarkEnd w:id="67"/>
      <w:hyperlink r:id="rId33" w:history="1">
        <w:r>
          <w:rPr>
            <w:rFonts w:ascii="arial" w:eastAsia="arial" w:hAnsi="arial" w:cs="arial"/>
            <w:b w:val="0"/>
            <w:i/>
            <w:strike w:val="0"/>
            <w:noProof w:val="0"/>
            <w:color w:val="0077CC"/>
            <w:position w:val="0"/>
            <w:sz w:val="20"/>
            <w:u w:val="single"/>
            <w:vertAlign w:val="baseline"/>
          </w:rPr>
          <w:t>Puckett</w:t>
        </w:r>
      </w:hyperlink>
      <w:hyperlink r:id="rId33" w:history="1">
        <w:r>
          <w:rPr>
            <w:rFonts w:ascii="arial" w:eastAsia="arial" w:hAnsi="arial" w:cs="arial"/>
            <w:b w:val="0"/>
            <w:i/>
            <w:strike w:val="0"/>
            <w:noProof w:val="0"/>
            <w:color w:val="0077CC"/>
            <w:position w:val="0"/>
            <w:sz w:val="20"/>
            <w:u w:val="single"/>
            <w:vertAlign w:val="baseline"/>
          </w:rPr>
          <w:t>, 556 U.S. at 135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8" w:name="Bookmark_para_11"/>
      <w:bookmarkEnd w:id="68"/>
      <w:r>
        <w:rPr>
          <w:rFonts w:ascii="arial" w:eastAsia="arial" w:hAnsi="arial" w:cs="arial"/>
          <w:b w:val="0"/>
          <w:i w:val="0"/>
          <w:strike w:val="0"/>
          <w:noProof w:val="0"/>
          <w:color w:val="000000"/>
          <w:position w:val="0"/>
          <w:sz w:val="20"/>
          <w:u w:val="none"/>
          <w:vertAlign w:val="baseline"/>
        </w:rPr>
        <w:t xml:space="preserve">Finally, Lopez-Perez argues that application of the leadership-role adjustment rendered his sentence substantively unreasonable. </w:t>
      </w:r>
      <w:bookmarkStart w:id="69" w:name="Bookmark_I5HM9MSK2N1R590050000400"/>
      <w:bookmarkEnd w:id="69"/>
      <w:r>
        <w:rPr>
          <w:rFonts w:ascii="arial" w:eastAsia="arial" w:hAnsi="arial" w:cs="arial"/>
          <w:b w:val="0"/>
          <w:i w:val="0"/>
          <w:strike w:val="0"/>
          <w:noProof w:val="0"/>
          <w:color w:val="000000"/>
          <w:position w:val="0"/>
          <w:sz w:val="20"/>
          <w:u w:val="none"/>
          <w:vertAlign w:val="baseline"/>
        </w:rPr>
        <w:t xml:space="preserve">However, </w:t>
      </w:r>
      <w:bookmarkStart w:id="70" w:name="Bookmark_LNHNREFclscc9"/>
      <w:bookmarkEnd w:id="70"/>
      <w:hyperlink r:id="rId37" w:history="1">
        <w:r>
          <w:rPr>
            <w:rFonts w:ascii="arial" w:eastAsia="arial" w:hAnsi="arial" w:cs="arial"/>
            <w:b/>
            <w:i/>
            <w:strike w:val="0"/>
            <w:noProof w:val="0"/>
            <w:color w:val="0077CC"/>
            <w:position w:val="0"/>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clscc9" w:history="1">
        <w:r>
          <w:pict>
            <v:shape id="_x0000_i1046" type="#_x0000_t75" style="width:10.5pt;height:10.5pt">
              <v:imagedata r:id="rId22" o:title=""/>
            </v:shape>
          </w:pict>
        </w:r>
      </w:hyperlink>
      <w:r>
        <w:rPr>
          <w:rFonts w:ascii="arial" w:eastAsia="arial" w:hAnsi="arial" w:cs="arial"/>
          <w:b w:val="0"/>
          <w:i w:val="0"/>
          <w:strike w:val="0"/>
          <w:noProof w:val="0"/>
          <w:color w:val="000000"/>
          <w:position w:val="0"/>
          <w:sz w:val="20"/>
          <w:u w:val="none"/>
          <w:vertAlign w:val="baseline"/>
        </w:rPr>
        <w:t>] no error, plain</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or otherwise, occurred in the application of the leadership-role adjustment under </w:t>
      </w:r>
      <w:hyperlink r:id="rId12" w:history="1">
        <w:r>
          <w:rPr>
            <w:rFonts w:ascii="arial" w:eastAsia="arial" w:hAnsi="arial" w:cs="arial"/>
            <w:b w:val="0"/>
            <w:i/>
            <w:strike w:val="0"/>
            <w:noProof w:val="0"/>
            <w:color w:val="0077CC"/>
            <w:position w:val="0"/>
            <w:sz w:val="20"/>
            <w:u w:val="single"/>
            <w:vertAlign w:val="baseline"/>
          </w:rPr>
          <w:t>Section 3B1.1(a)</w:t>
        </w:r>
      </w:hyperlink>
      <w:r>
        <w:rPr>
          <w:rFonts w:ascii="arial" w:eastAsia="arial" w:hAnsi="arial" w:cs="arial"/>
          <w:b w:val="0"/>
          <w:i w:val="0"/>
          <w:strike w:val="0"/>
          <w:noProof w:val="0"/>
          <w:color w:val="000000"/>
          <w:position w:val="0"/>
          <w:sz w:val="20"/>
          <w:u w:val="none"/>
          <w:vertAlign w:val="baseline"/>
        </w:rPr>
        <w:t xml:space="preserve">. Thus the presumption of reasonableness that is accorded his within-guidelines sentence has not been rebutted. </w:t>
      </w:r>
      <w:r>
        <w:rPr>
          <w:rFonts w:ascii="arial" w:eastAsia="arial" w:hAnsi="arial" w:cs="arial"/>
          <w:b w:val="0"/>
          <w:i/>
          <w:strike w:val="0"/>
          <w:noProof w:val="0"/>
          <w:color w:val="000000"/>
          <w:position w:val="0"/>
          <w:sz w:val="20"/>
          <w:u w:val="none"/>
          <w:vertAlign w:val="baseline"/>
        </w:rPr>
        <w:t xml:space="preserve">See </w:t>
      </w:r>
      <w:bookmarkStart w:id="71" w:name="Bookmark_I5HM9MSK2N1R590040000400"/>
      <w:bookmarkEnd w:id="71"/>
      <w:hyperlink r:id="rId38" w:history="1">
        <w:r>
          <w:rPr>
            <w:rFonts w:ascii="arial" w:eastAsia="arial" w:hAnsi="arial" w:cs="arial"/>
            <w:b w:val="0"/>
            <w:i/>
            <w:strike w:val="0"/>
            <w:noProof w:val="0"/>
            <w:color w:val="0077CC"/>
            <w:position w:val="0"/>
            <w:sz w:val="20"/>
            <w:u w:val="single"/>
            <w:vertAlign w:val="baseline"/>
          </w:rPr>
          <w:t>United States v. Cooks</w:t>
        </w:r>
      </w:hyperlink>
      <w:hyperlink r:id="rId38" w:history="1">
        <w:r>
          <w:rPr>
            <w:rFonts w:ascii="arial" w:eastAsia="arial" w:hAnsi="arial" w:cs="arial"/>
            <w:b w:val="0"/>
            <w:i/>
            <w:strike w:val="0"/>
            <w:noProof w:val="0"/>
            <w:color w:val="0077CC"/>
            <w:position w:val="0"/>
            <w:sz w:val="20"/>
            <w:u w:val="single"/>
            <w:vertAlign w:val="baseline"/>
          </w:rPr>
          <w:t>, 589 F.3d 173, 186 (5th Cir. 2009)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2" w:name="Bookmark_para_12"/>
      <w:bookmarkEnd w:id="72"/>
      <w:r>
        <w:rPr>
          <w:rFonts w:ascii="arial" w:eastAsia="arial" w:hAnsi="arial" w:cs="arial"/>
          <w:b w:val="0"/>
          <w:i w:val="0"/>
          <w:strike w:val="0"/>
          <w:noProof w:val="0"/>
          <w:color w:val="000000"/>
          <w:position w:val="0"/>
          <w:sz w:val="20"/>
          <w:u w:val="none"/>
          <w:vertAlign w:val="baseline"/>
        </w:rPr>
        <w:t>AFFIRMED.</w:t>
      </w:r>
    </w:p>
    <w:p/>
    <w:p>
      <w:pPr>
        <w:ind w:left="200"/>
      </w:pPr>
      <w:r>
        <w:br/>
      </w:r>
      <w:r>
        <w:pict>
          <v:line id="_x0000_s1047"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 </w:t>
      </w:r>
      <w:bookmarkStart w:id="32" w:name="Bookmark_fnpara_1"/>
      <w:bookmarkEnd w:id="32"/>
      <w:r>
        <w:rPr>
          <w:rFonts w:ascii="arial" w:eastAsia="arial" w:hAnsi="arial" w:cs="arial"/>
          <w:b w:val="0"/>
          <w:i w:val="0"/>
          <w:strike w:val="0"/>
          <w:noProof w:val="0"/>
          <w:color w:val="000000"/>
          <w:position w:val="0"/>
          <w:sz w:val="18"/>
          <w:u w:val="none"/>
          <w:vertAlign w:val="baseline"/>
        </w:rPr>
        <w:t xml:space="preserve">Pursuant to </w:t>
      </w:r>
      <w:r>
        <w:rPr>
          <w:rFonts w:ascii="arial" w:eastAsia="arial" w:hAnsi="arial" w:cs="arial"/>
          <w:b/>
          <w:i/>
          <w:smallCaps/>
          <w:strike w:val="0"/>
          <w:noProof w:val="0"/>
          <w:color w:val="000000"/>
          <w:position w:val="0"/>
          <w:sz w:val="18"/>
          <w:u w:val="none"/>
          <w:vertAlign w:val="baseline"/>
        </w:rPr>
        <w:t>5th Cir. R.</w:t>
      </w:r>
      <w:r>
        <w:rPr>
          <w:rFonts w:ascii="arial" w:eastAsia="arial" w:hAnsi="arial" w:cs="arial"/>
          <w:b/>
          <w:i/>
          <w:strike w:val="0"/>
          <w:noProof w:val="0"/>
          <w:color w:val="000000"/>
          <w:position w:val="0"/>
          <w:sz w:val="18"/>
          <w:u w:val="none"/>
          <w:vertAlign w:val="baseline"/>
        </w:rPr>
        <w:t xml:space="preserve"> 47.5</w:t>
      </w:r>
      <w:r>
        <w:rPr>
          <w:rFonts w:ascii="arial" w:eastAsia="arial" w:hAnsi="arial" w:cs="arial"/>
          <w:b w:val="0"/>
          <w:i w:val="0"/>
          <w:strike w:val="0"/>
          <w:noProof w:val="0"/>
          <w:color w:val="000000"/>
          <w:position w:val="0"/>
          <w:sz w:val="18"/>
          <w:u w:val="none"/>
          <w:vertAlign w:val="baseline"/>
        </w:rPr>
        <w:t xml:space="preserve">, the court has determined that this opinion should not be published and is not precedent except under the limited circumstances set forth in </w:t>
      </w:r>
      <w:r>
        <w:rPr>
          <w:rFonts w:ascii="arial" w:eastAsia="arial" w:hAnsi="arial" w:cs="arial"/>
          <w:b/>
          <w:i/>
          <w:smallCaps/>
          <w:strike w:val="0"/>
          <w:noProof w:val="0"/>
          <w:color w:val="000000"/>
          <w:position w:val="0"/>
          <w:sz w:val="18"/>
          <w:u w:val="none"/>
          <w:vertAlign w:val="baseline"/>
        </w:rPr>
        <w:t>5th Cir. R.</w:t>
      </w:r>
      <w:r>
        <w:rPr>
          <w:rFonts w:ascii="arial" w:eastAsia="arial" w:hAnsi="arial" w:cs="arial"/>
          <w:b/>
          <w:i/>
          <w:strike w:val="0"/>
          <w:noProof w:val="0"/>
          <w:color w:val="000000"/>
          <w:position w:val="0"/>
          <w:sz w:val="18"/>
          <w:u w:val="none"/>
          <w:vertAlign w:val="baseline"/>
        </w:rPr>
        <w:t xml:space="preserve"> 47.5.4</w:t>
      </w:r>
      <w:r>
        <w:rPr>
          <w:rFonts w:ascii="arial" w:eastAsia="arial" w:hAnsi="arial" w:cs="arial"/>
          <w:b w:val="0"/>
          <w:i w:val="0"/>
          <w:strike w:val="0"/>
          <w:noProof w:val="0"/>
          <w:color w:val="000000"/>
          <w:position w:val="0"/>
          <w:sz w:val="18"/>
          <w:u w:val="none"/>
          <w:vertAlign w:val="baseline"/>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Lopez-Perez, 623 Fed. Appx. 223</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5HDP-X0G1-F04K-N13V-00000-00&amp;context=1519360&amp;link=LNHNREFclscc1" TargetMode="External" /><Relationship Id="rId11" Type="http://schemas.openxmlformats.org/officeDocument/2006/relationships/image" Target="media/image2.png" /><Relationship Id="rId12" Type="http://schemas.openxmlformats.org/officeDocument/2006/relationships/hyperlink" Target="https://advance.lexis.com/api/document?collection=statutes-legislation&amp;id=urn:contentItem:6D28-6CY3-RVPC-N0SK-00000-00&amp;context=1519360" TargetMode="External" /><Relationship Id="rId13" Type="http://schemas.openxmlformats.org/officeDocument/2006/relationships/hyperlink" Target="https://advance.lexis.com/api/document?collection=cases&amp;id=urn:contentItem:5HDP-X0G1-F04K-N13V-00000-00&amp;context=1519360&amp;link=LNHNREFclscc2" TargetMode="External" /><Relationship Id="rId14" Type="http://schemas.openxmlformats.org/officeDocument/2006/relationships/hyperlink" Target="https://advance.lexis.com/api/document?collection=cases&amp;id=urn:contentItem:5HDP-X0G1-F04K-N13V-00000-00&amp;context=1519360&amp;link=LNHNREFclscc3" TargetMode="External" /><Relationship Id="rId15" Type="http://schemas.openxmlformats.org/officeDocument/2006/relationships/hyperlink" Target="https://advance.lexis.com/api/document?collection=cases&amp;id=urn:contentItem:5HDP-X0G1-F04K-N13V-00000-00&amp;context=1519360&amp;link=LNHNREFclscc4" TargetMode="External" /><Relationship Id="rId16" Type="http://schemas.openxmlformats.org/officeDocument/2006/relationships/hyperlink" Target="https://advance.lexis.com/api/document?collection=cases&amp;id=urn:contentItem:5HDP-X0G1-F04K-N13V-00000-00&amp;context=1519360&amp;link=LNHNREFclscc5" TargetMode="External" /><Relationship Id="rId17" Type="http://schemas.openxmlformats.org/officeDocument/2006/relationships/hyperlink" Target="https://advance.lexis.com/api/document?collection=cases&amp;id=urn:contentItem:5HDP-X0G1-F04K-N13V-00000-00&amp;context=1519360&amp;link=LNHNREFclscc6" TargetMode="External" /><Relationship Id="rId18" Type="http://schemas.openxmlformats.org/officeDocument/2006/relationships/hyperlink" Target="https://advance.lexis.com/api/document?collection=cases&amp;id=urn:contentItem:5HDP-X0G1-F04K-N13V-00000-00&amp;context=1519360&amp;link=LNHNREFclscc7" TargetMode="External" /><Relationship Id="rId19" Type="http://schemas.openxmlformats.org/officeDocument/2006/relationships/hyperlink" Target="https://advance.lexis.com/api/document?collection=cases&amp;id=urn:contentItem:5HDP-X0G1-F04K-N13V-00000-00&amp;context=1519360&amp;link=LNHNREFclscc8"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5HDP-X0G1-F04K-N13V-00000-00&amp;context=1519360&amp;link=LNHNREFclscc9" TargetMode="External" /><Relationship Id="rId21" Type="http://schemas.openxmlformats.org/officeDocument/2006/relationships/hyperlink" Target="https://advance.lexis.com/api/document?collection=cases&amp;id=urn:contentItem:5HDP-X0G1-F04K-N13V-00000-00&amp;context=1519360&amp;link=clscc1" TargetMode="External" /><Relationship Id="rId22" Type="http://schemas.openxmlformats.org/officeDocument/2006/relationships/image" Target="media/image3.png" /><Relationship Id="rId23" Type="http://schemas.openxmlformats.org/officeDocument/2006/relationships/hyperlink" Target="https://advance.lexis.com/api/document?collection=cases&amp;id=urn:contentItem:5HDP-X0G1-F04K-N13V-00000-00&amp;context=1519360&amp;link=clscc2" TargetMode="External" /><Relationship Id="rId24" Type="http://schemas.openxmlformats.org/officeDocument/2006/relationships/hyperlink" Target="https://advance.lexis.com/api/document?collection=cases&amp;id=urn:contentItem:4J2N-D0M0-0038-X21M-00000-00&amp;context=1519360" TargetMode="External" /><Relationship Id="rId25" Type="http://schemas.openxmlformats.org/officeDocument/2006/relationships/hyperlink" Target="https://advance.lexis.com/api/document?collection=cases&amp;id=urn:contentItem:59YV-1RY1-F04K-N23T-00000-00&amp;context=1519360" TargetMode="External" /><Relationship Id="rId26" Type="http://schemas.openxmlformats.org/officeDocument/2006/relationships/hyperlink" Target="https://advance.lexis.com/api/document?collection=cases&amp;id=urn:contentItem:5HDP-X0G1-F04K-N13V-00000-00&amp;context=1519360&amp;link=clscc3" TargetMode="External" /><Relationship Id="rId27" Type="http://schemas.openxmlformats.org/officeDocument/2006/relationships/hyperlink" Target="https://advance.lexis.com/api/document?collection=cases&amp;id=urn:contentItem:3S4X-3RB0-003B-5546-00000-00&amp;context=1519360" TargetMode="External" /><Relationship Id="rId28" Type="http://schemas.openxmlformats.org/officeDocument/2006/relationships/hyperlink" Target="https://advance.lexis.com/api/document?collection=cases&amp;id=urn:contentItem:5HDP-X0G1-F04K-N13V-00000-00&amp;context=1519360&amp;link=clscc4" TargetMode="External" /><Relationship Id="rId29" Type="http://schemas.openxmlformats.org/officeDocument/2006/relationships/hyperlink" Target="https://advance.lexis.com/api/document?collection=cases&amp;id=urn:contentItem:3S4X-0YS0-008H-V23F-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5HDP-X0G1-F04K-N13V-00000-00&amp;context=1519360&amp;link=clscc5" TargetMode="External" /><Relationship Id="rId31" Type="http://schemas.openxmlformats.org/officeDocument/2006/relationships/hyperlink" Target="https://advance.lexis.com/api/document?collection=cases&amp;id=urn:contentItem:4060-DCV0-0038-X1W5-00000-00&amp;context=1519360" TargetMode="External" /><Relationship Id="rId32" Type="http://schemas.openxmlformats.org/officeDocument/2006/relationships/hyperlink" Target="https://advance.lexis.com/api/document?collection=cases&amp;id=urn:contentItem:5HDP-X0G1-F04K-N13V-00000-00&amp;context=1519360&amp;link=clscc6" TargetMode="External" /><Relationship Id="rId33" Type="http://schemas.openxmlformats.org/officeDocument/2006/relationships/hyperlink" Target="https://advance.lexis.com/api/document?collection=cases&amp;id=urn:contentItem:4VXD-5VG0-TXFX-13CX-00000-00&amp;context=1519360" TargetMode="External" /><Relationship Id="rId34" Type="http://schemas.openxmlformats.org/officeDocument/2006/relationships/hyperlink" Target="https://advance.lexis.com/api/document?collection=cases&amp;id=urn:contentItem:5HDP-X0G1-F04K-N13V-00000-00&amp;context=1519360&amp;link=clscc7" TargetMode="External" /><Relationship Id="rId35" Type="http://schemas.openxmlformats.org/officeDocument/2006/relationships/hyperlink" Target="https://advance.lexis.com/api/document?collection=cases&amp;id=urn:contentItem:5HDP-X0G1-F04K-N13V-00000-00&amp;context=1519360&amp;link=clscc8" TargetMode="External" /><Relationship Id="rId36" Type="http://schemas.openxmlformats.org/officeDocument/2006/relationships/hyperlink" Target="https://advance.lexis.com/api/document?collection=cases&amp;id=urn:contentItem:4K6D-N7S0-TVRV-731F-00000-00&amp;context=1519360" TargetMode="External" /><Relationship Id="rId37" Type="http://schemas.openxmlformats.org/officeDocument/2006/relationships/hyperlink" Target="https://advance.lexis.com/api/document?collection=cases&amp;id=urn:contentItem:5HDP-X0G1-F04K-N13V-00000-00&amp;context=1519360&amp;link=clscc9" TargetMode="External" /><Relationship Id="rId38" Type="http://schemas.openxmlformats.org/officeDocument/2006/relationships/hyperlink" Target="https://advance.lexis.com/api/document?collection=cases&amp;id=urn:contentItem:7X5F-63B0-YB0V-H02C-00000-00&amp;context=1519360" TargetMode="External" /><Relationship Id="rId39" Type="http://schemas.openxmlformats.org/officeDocument/2006/relationships/theme" Target="theme/theme1.xml" /><Relationship Id="rId4" Type="http://schemas.openxmlformats.org/officeDocument/2006/relationships/fontTable" Target="fontTable.xml" /><Relationship Id="rId40" Type="http://schemas.openxmlformats.org/officeDocument/2006/relationships/styles" Target="styles.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5HDP-X0G1-F04K-N13V-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Lopez-Perez, 623 Fed. Appx. 223</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72</vt:lpwstr>
  </property>
  <property fmtid="{D5CDD505-2E9C-101B-9397-08002B2CF9AE}" pid="3" name="LADocCount">
    <vt:lpwstr>1</vt:lpwstr>
  </property>
  <property fmtid="{D5CDD505-2E9C-101B-9397-08002B2CF9AE}" pid="4" name="LADocumentID:72">
    <vt:lpwstr>Doc::urn:hlct:5|contextualFeaturePermID::1519360</vt:lpwstr>
  </property>
  <property fmtid="{D5CDD505-2E9C-101B-9397-08002B2CF9AE}" pid="5" name="UserPermID">
    <vt:lpwstr>urn:user:PA186186298</vt:lpwstr>
  </property>
</Properties>
</file>