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Moreno-Dominguez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Mcallen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2017, Decided; May 25, 2017,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7:15-CV-268; CRIM. ACTION NO. 7:08-CR-1697-4</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2017 U.S. Dist. LEXIS 116974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EUCLIDES MORENO-DOMINGUEZ VS. UNITED STATES OF AMERICA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Post-conviction relief dismissed at, Certificate of appealability denied, Summary judgment granted by </w:t>
      </w:r>
      <w:hyperlink r:id="rId10" w:history="1">
        <w:r>
          <w:rPr>
            <w:rFonts w:ascii="arial" w:eastAsia="arial" w:hAnsi="arial" w:cs="arial"/>
            <w:b w:val="0"/>
            <w:i/>
            <w:strike w:val="0"/>
            <w:noProof w:val="0"/>
            <w:color w:val="0077CC"/>
            <w:position w:val="0"/>
            <w:sz w:val="20"/>
            <w:u w:val="single"/>
            <w:vertAlign w:val="baseline"/>
          </w:rPr>
          <w:t>Moreno-Dominguez v. United States, 2017 U.S. Dist. LEXIS 116532 (S.D. Tex., July 25,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Movant, sentencing, undocumented alien, district court, co-defendants, aliens, sentencing hearing, constitutional right, speedy trial, recommend, acceptance of responsibility, guilty plea, continuances, ineffective, proceedings, indictment, Probation, assaulted, harboring, kidnapped, procedurally barred, speedy trial claim, direct appeal, apprehended, departure, downward, factors, jurists, revised, ineffective assistance of counsel claim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Euclides Moreno-Dominguez, Plaintiff (7:15-cv-00268), Pro se, WELCH, WV.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Defendant (7:15-cv-00268): Appellate Division, LEAD ATTORNEY, U.S. Attorney's Office, Southern District of Texas, Houston, TX; Sonah Lee, LEAD ATTORNEY,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(7:08-cr-01697-4): Anibal J Alaniz, LEAD ATTORNEY, Linda Requenez, U.S. Attorney's Office, McAllen, TX; Financial Litigation, U S Attorney's Office, Southern District of Texas, Houston, TX; US Pretrial Svcs Mc; US Probation - Mc; Sonah Lee,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Peter E. Ormsby,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 E. Ormsby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Movant Euclides Moreno-Dominguez, a federal prisoner proceeding pro se, initiated this action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by filing a Motion to Vacate, Set Aside, or Correct Sentence. (Docket No.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Movant is serving a 204-month sentence after pleading guilty to hostage taking in violation of </w:t>
      </w:r>
      <w:hyperlink r:id="rId12"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As the District Court observed at the sentencing hearing, Movant committed a "horrendous crime." Movant and his co-defendants stole a group of undocumented aliens at gunpoint from another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transported them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another stash house, extorted money from the aliens' families, threatened the aliens with guns, and physically abused them. Among other things, Movant sexually assaulted two of the kidnapped female undocumented aliens—one of whom he raped multiple times. As a result of the egregious nature of his crime, the Probation Office determined that Movant's Sentencing Guidelines range was life imprisonment. Movant received a far lower sentence mainly because the District Court granted a downward departure at the sentencing hearing.</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In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Movant claims that the District Court violated his constitutional right to a speedy trial by granting excessive continuances of the sentencing hearing, which resulted in a three-and-a-half-year delay in sentencing. Movant also claims that his attorney rendered ineffective assistance of counsel by failing to move for dismissal of the indictment based on the delay in sentencing. Respondent United States has filed a motion for summary judgment arguing that Movant's claims lack merit. (Docket No. 6.)</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After carefully considering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the record of Movant's criminal case, and the applicable law, the undersigned concludes that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should be denied. Movant's claim that delay in his sentencing violated his constitutional right to a speedy trial is procedurally barred. In any event, this claim is also meritless. Movant requested some of the continuances, and he never objected to the continuances requested by his co-defendants. More important, the record shows that Movant was not prejudiced by the delay; if anything, Movant benefitted from the delay in that he was ultimately granted a downward departure that greatly reduced his sentence. Because any challenge to the sentencing delay would have lacked merit, Movant has failed to show any deficiency by his counsel in not raising that issue. Accordingly, for the reasons explained further below, it is recommended that the District Court grant Respondent's summary judgment motion, deny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dismiss this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Underlying Criminal Charge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The charges against Movant resulted from an investigation conducted by Immigration and Customs Enforcement (ICE) and Customs and Border Protection (CBP), with assistance from the Hidalgo County Sheriff's Department. On November 25, 2008, a concerned citizen called CBP to report that undocumented aliens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were being harbored at a location in Edinburg, Texas. CBP agents went to the specified location and observed three mobile homes. When agents approached the mobile homes, Movant and four others attempted to flee. The agents apprehended Movant and his three co-defendants, Andres Perez-Moshan, Humberto Alvarez-Cheo, and Roberto Salinas. Mr. Perez-Moshan's 16-year-old brother was also taken into custody.</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In one of the mobile homes, agents found 21 undocumented aliens who were being held in a single, small bedroom. Three handguns were also found in the mobile home.</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CBP agents learned that Movant and his co-defendants had kidnapped the undocumented aliens at gunpoint from a different stash house where they were being harbored by another alien smuggler. The defendants held the 21 aliens against their will while attempting to extort money from the aliens' families. Movant and his co-defendants severely mistreated the undocumented aliens by: brandishing firearms and threatening the aliens; tying up one of the aliens and then kicking and beating him; and sexually assaulting three of the female aliens.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evidence of Movant's involvement in kidnapping and abusing the undocumented aliens was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overwhelming. Five of the undocumented aliens gave statements explaining what had happened to them and detailing how they had been brutalized and mistreated by Movant and his co-defendants. Two of the female aliens stated that Movant had sexually assaulted them. One of them stated that he raped her three separate times. Two of Movant's co-defendants also gave statements describing Movant's involvement and conduct. In addition, evidence developed from a separate ICE investigation showed that Movant and his co-defendants had on at least two prior occasions kidnapped and held for ransom other groups of undocumented aliens.</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Based on the evidence gathered during the Government's investigation, the PSR summarized Movant's role in the offense as follows:</w:t>
      </w:r>
    </w:p>
    <w:p>
      <w:pPr>
        <w:keepNext w:val="0"/>
        <w:spacing w:before="200"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[Movant] </w:t>
      </w:r>
      <w:r>
        <w:rPr>
          <w:rFonts w:ascii="arial" w:eastAsia="arial" w:hAnsi="arial" w:cs="arial"/>
          <w:b/>
          <w:i w:val="0"/>
          <w:strike w:val="0"/>
          <w:noProof w:val="0"/>
          <w:color w:val="000000"/>
          <w:position w:val="0"/>
          <w:sz w:val="20"/>
          <w:u w:val="none"/>
          <w:vertAlign w:val="baseline"/>
        </w:rPr>
        <w:t>Euclides Moreno</w:t>
      </w:r>
      <w:r>
        <w:rPr>
          <w:rFonts w:ascii="arial" w:eastAsia="arial" w:hAnsi="arial" w:cs="arial"/>
          <w:b w:val="0"/>
          <w:i w:val="0"/>
          <w:strike w:val="0"/>
          <w:noProof w:val="0"/>
          <w:color w:val="000000"/>
          <w:position w:val="0"/>
          <w:sz w:val="20"/>
          <w:u w:val="none"/>
          <w:vertAlign w:val="baseline"/>
        </w:rPr>
        <w:t xml:space="preserve"> was responsible for participating in the kidnapping of 21 undocumented aliens at gunpoint from a stash house in an undisclosed location in Hidalgo County, Texas, and transporting the group of undocumented aliens to a stash house in Edinburg, Texas. It is noted that </w:t>
      </w:r>
      <w:r>
        <w:rPr>
          <w:rFonts w:ascii="arial" w:eastAsia="arial" w:hAnsi="arial" w:cs="arial"/>
          <w:b/>
          <w:i w:val="0"/>
          <w:strike w:val="0"/>
          <w:noProof w:val="0"/>
          <w:color w:val="000000"/>
          <w:position w:val="0"/>
          <w:sz w:val="20"/>
          <w:u w:val="none"/>
          <w:vertAlign w:val="baseline"/>
        </w:rPr>
        <w:t>Mr. Moreno</w:t>
      </w:r>
      <w:r>
        <w:rPr>
          <w:rFonts w:ascii="arial" w:eastAsia="arial" w:hAnsi="arial" w:cs="arial"/>
          <w:b w:val="0"/>
          <w:i w:val="0"/>
          <w:strike w:val="0"/>
          <w:noProof w:val="0"/>
          <w:color w:val="000000"/>
          <w:position w:val="0"/>
          <w:sz w:val="20"/>
          <w:u w:val="none"/>
          <w:vertAlign w:val="baseline"/>
        </w:rPr>
        <w:t xml:space="preserve"> was identified as a driver of one of the vehicles used to transport the undocumented aliens. Upon Andres Perez' instructions, </w:t>
      </w:r>
      <w:r>
        <w:rPr>
          <w:rFonts w:ascii="arial" w:eastAsia="arial" w:hAnsi="arial" w:cs="arial"/>
          <w:b/>
          <w:i w:val="0"/>
          <w:strike w:val="0"/>
          <w:noProof w:val="0"/>
          <w:color w:val="000000"/>
          <w:position w:val="0"/>
          <w:sz w:val="20"/>
          <w:u w:val="none"/>
          <w:vertAlign w:val="baseline"/>
        </w:rPr>
        <w:t>Mr. Moreno</w:t>
      </w:r>
      <w:r>
        <w:rPr>
          <w:rFonts w:ascii="arial" w:eastAsia="arial" w:hAnsi="arial" w:cs="arial"/>
          <w:b w:val="0"/>
          <w:i w:val="0"/>
          <w:strike w:val="0"/>
          <w:noProof w:val="0"/>
          <w:color w:val="000000"/>
          <w:position w:val="0"/>
          <w:sz w:val="20"/>
          <w:u w:val="none"/>
          <w:vertAlign w:val="baseline"/>
        </w:rPr>
        <w:t xml:space="preserve"> assaulted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Mario Olivares by kicking him in the stomach and ribs. Information suggests that </w:t>
      </w:r>
      <w:r>
        <w:rPr>
          <w:rFonts w:ascii="arial" w:eastAsia="arial" w:hAnsi="arial" w:cs="arial"/>
          <w:b/>
          <w:i w:val="0"/>
          <w:strike w:val="0"/>
          <w:noProof w:val="0"/>
          <w:color w:val="000000"/>
          <w:position w:val="0"/>
          <w:sz w:val="20"/>
          <w:u w:val="none"/>
          <w:vertAlign w:val="baseline"/>
        </w:rPr>
        <w:t>Euclides Moreno</w:t>
      </w:r>
      <w:r>
        <w:rPr>
          <w:rFonts w:ascii="arial" w:eastAsia="arial" w:hAnsi="arial" w:cs="arial"/>
          <w:b w:val="0"/>
          <w:i w:val="0"/>
          <w:strike w:val="0"/>
          <w:noProof w:val="0"/>
          <w:color w:val="000000"/>
          <w:position w:val="0"/>
          <w:sz w:val="20"/>
          <w:u w:val="none"/>
          <w:vertAlign w:val="baseline"/>
        </w:rPr>
        <w:t xml:space="preserve"> sexually assaulted Myra Barreira on three separate occasions and Elisama Lopez on one occasion. Information further suggests that upon Andres Perez' instructions, </w:t>
      </w:r>
      <w:r>
        <w:rPr>
          <w:rFonts w:ascii="arial" w:eastAsia="arial" w:hAnsi="arial" w:cs="arial"/>
          <w:b/>
          <w:i w:val="0"/>
          <w:strike w:val="0"/>
          <w:noProof w:val="0"/>
          <w:color w:val="000000"/>
          <w:position w:val="0"/>
          <w:sz w:val="20"/>
          <w:u w:val="none"/>
          <w:vertAlign w:val="baseline"/>
        </w:rPr>
        <w:t>Euclides Moreno</w:t>
      </w:r>
      <w:r>
        <w:rPr>
          <w:rFonts w:ascii="arial" w:eastAsia="arial" w:hAnsi="arial" w:cs="arial"/>
          <w:b w:val="0"/>
          <w:i w:val="0"/>
          <w:strike w:val="0"/>
          <w:noProof w:val="0"/>
          <w:color w:val="000000"/>
          <w:position w:val="0"/>
          <w:sz w:val="20"/>
          <w:u w:val="none"/>
          <w:vertAlign w:val="baseline"/>
        </w:rPr>
        <w:t xml:space="preserve"> directly contacted several of the undocumented aliens' family members in an attempt to collect ransom payments. The investigation further revealed that </w:t>
      </w:r>
      <w:r>
        <w:rPr>
          <w:rFonts w:ascii="arial" w:eastAsia="arial" w:hAnsi="arial" w:cs="arial"/>
          <w:b/>
          <w:i w:val="0"/>
          <w:strike w:val="0"/>
          <w:noProof w:val="0"/>
          <w:color w:val="000000"/>
          <w:position w:val="0"/>
          <w:sz w:val="20"/>
          <w:u w:val="none"/>
          <w:vertAlign w:val="baseline"/>
        </w:rPr>
        <w:t>Euclides Moreno</w:t>
      </w:r>
      <w:r>
        <w:rPr>
          <w:rFonts w:ascii="arial" w:eastAsia="arial" w:hAnsi="arial" w:cs="arial"/>
          <w:b w:val="0"/>
          <w:i w:val="0"/>
          <w:strike w:val="0"/>
          <w:noProof w:val="0"/>
          <w:color w:val="000000"/>
          <w:position w:val="0"/>
          <w:sz w:val="20"/>
          <w:u w:val="none"/>
          <w:vertAlign w:val="baseline"/>
        </w:rPr>
        <w:t xml:space="preserve">, along with Andres Perez, and M.A.P.M. were involved in robbing and holding undocumented aliens in which ransom payments were demanded in exchange for the undocumented aliens' release. It is noted that five undocumented aliens were apprehended on October 15, 2008, and an additional five undocumented aliens were apprehended on October 21, 2008, all of whom confirmed that they were held against their will until ransom monies were paid. Therefore, </w:t>
      </w:r>
      <w:r>
        <w:rPr>
          <w:rFonts w:ascii="arial" w:eastAsia="arial" w:hAnsi="arial" w:cs="arial"/>
          <w:b/>
          <w:i w:val="0"/>
          <w:strike w:val="0"/>
          <w:noProof w:val="0"/>
          <w:color w:val="000000"/>
          <w:position w:val="0"/>
          <w:sz w:val="20"/>
          <w:u w:val="none"/>
          <w:vertAlign w:val="baseline"/>
        </w:rPr>
        <w:t>Mr. Moreno</w:t>
      </w:r>
      <w:r>
        <w:rPr>
          <w:rFonts w:ascii="arial" w:eastAsia="arial" w:hAnsi="arial" w:cs="arial"/>
          <w:b w:val="0"/>
          <w:i w:val="0"/>
          <w:strike w:val="0"/>
          <w:noProof w:val="0"/>
          <w:color w:val="000000"/>
          <w:position w:val="0"/>
          <w:sz w:val="20"/>
          <w:u w:val="none"/>
          <w:vertAlign w:val="baseline"/>
        </w:rPr>
        <w:t xml:space="preserve"> will be held accountable for the 21 undocumented aliens apprehended on November 25, 2008, five undocumented aliens apprehended on October 15, 2008, and an additional five undocumented aliens apprehended on October 21, 2008, for a total of 31 undocumented aliens.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 Docket No. 205, ¶ 51.)</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Movant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his three adult co-defendants were arrested and charged in a federal criminal complaint with harboring undocumented aliens. (Cr. Docket No. 1.) The minor brother of co-defendant Andres Perez-Moshan was taken into state custody. He was later certified as an adult and charged in state court with aggravated sexual assault and kidnapping.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Criminal Proceedings</w:t>
      </w:r>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A federal grand jury in McAllen, Texas, returned a seven-count indictment charging Movant, Andres Perez-Moshan, Humberto Alvarez-Cheo, and Roberto Salinas-Martinez with harboring undocumented aliens. (Cr. Docket No. 39.) An eleven-count superseding indictment was later filed. (Cr. Docket No. 58.) Movant was named in all eleven counts and charged with the following offenses: conspiracy to harbor undocumented aliens within the United States, in violation of </w:t>
      </w:r>
      <w:hyperlink r:id="rId13"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1324(a)(1)(A)(iii)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1324(a)(1)(B)(iii)</w:t>
        </w:r>
      </w:hyperlink>
      <w:r>
        <w:rPr>
          <w:rFonts w:ascii="arial" w:eastAsia="arial" w:hAnsi="arial" w:cs="arial"/>
          <w:b w:val="0"/>
          <w:i w:val="0"/>
          <w:strike w:val="0"/>
          <w:noProof w:val="0"/>
          <w:color w:val="000000"/>
          <w:position w:val="0"/>
          <w:sz w:val="20"/>
          <w:u w:val="none"/>
          <w:vertAlign w:val="baseline"/>
        </w:rPr>
        <w:t xml:space="preserve"> (Count 1); harboring specific undocumented aliens within the United States, in violation of </w:t>
      </w:r>
      <w:hyperlink r:id="rId13"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1324(a)(1)(A)(v)(II)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1324(a)(1)(B)(iii)</w:t>
        </w:r>
      </w:hyperlink>
      <w:r>
        <w:rPr>
          <w:rFonts w:ascii="arial" w:eastAsia="arial" w:hAnsi="arial" w:cs="arial"/>
          <w:b w:val="0"/>
          <w:i w:val="0"/>
          <w:strike w:val="0"/>
          <w:noProof w:val="0"/>
          <w:color w:val="000000"/>
          <w:position w:val="0"/>
          <w:sz w:val="20"/>
          <w:u w:val="none"/>
          <w:vertAlign w:val="baseline"/>
        </w:rPr>
        <w:t xml:space="preserve"> (Counts 2-7); conspiracy to take hostages, in violation of </w:t>
      </w:r>
      <w:hyperlink r:id="rId12"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(Count 8); and hostage taking, in violation of </w:t>
      </w:r>
      <w:hyperlink r:id="rId12"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(Counts 9-11).</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Movant ultimately pleaded guilty to Count 11 pursuant to a plea agreement. In exchange for Movant's guilty plea, the Government agreed to recommend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Movant receive a two-level sentencing decrease for acceptance of responsibility (if he clearly demonstrated acceptance of responsibility) and to move to dismiss the remaining counts of the superseding indictment at the time of sentencing. (Cr. Docket No. 231.) On February 18, 2011, Movant was re-arraigned and pleaded guilty. After accepting Movant's guilty plea, the District Court ordered the Probation Office to prepare a Presentence Investigation Report (PSR).</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The Probation Office filed the initial PSR on April 25, 2011. (Cr. Docket No. 127.) Prior to Movant's sentencing hearing, the PSR was revised several times. (Cr. Docket Nos. 164, 183, 205.) Movant's sentencing was based on the fourth revised PSR. (Cr. Docket No. 205.)</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The PSR calculated Movant's base offense level at 32. A number of enhancements were applied based on specific characteristics of Movant's criminal activity: 6 levels were added because a ransom was demanded; 2 levels were added because dangerous weapons were used to threaten the undocumented aliens; 6 levels were added because three female undocumented aliens were sexually assaulted; and 2 levels were added because the undocumented aliens were vulnerable victims.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With these enhancements, Movants total offense level was 48.</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The PSR did not recommend that Movant receive credit for acceptance of responsibility. There were two reasons for this. First, in speaking with the probation officer, Movant downplayed and misrepresented his involvement in the crime, claiming that he did not kidnap the undocumented aliens, that he did not sexually abuse any of the female undocumented aliens, and that he did not threaten anyone. Second, while he was in custody awaiting sentencing, Movant was involved in gang-related violence. Movant and fellow gang members assaulted another inmate, who was a member of a rival gang.</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Movant had one criminal history point (arising from a driving while intoxicated conviction), which placed him in criminal history category I. Although not counted in his criminal history score, Movant had a pending state assault charge. According to the police report, Movant had repeatedly punched and kicked his common-law wife, who was pregnant at the time. While assaulting his common-law wife, Movant also injured her minor daughter.</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Based on a total offense level of 48 and criminal history category I, Movant's Guidelines sentencing range was life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imprisonment. This calculation of Movant's Guidelines sentence was consistent throughout all of the revisions to the PSR.</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Movant's attorney filed objections and amended objections to the PSR. (Cr. Docket Nos. 197, 213.) Counsel objected to various enhancements applied in the PSR, including the vulnerable victim enhancement. Movant's counsel requested that Movant receive a downward adjustment based on his limited role in the offense and argued that Movant should receive full credit (3 points) for acceptance of responsibility.</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The sentencing hearing was continued a number of times as a result of motions filed by the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Docket Nos. 142, 159, 174, 178, 195, 212, 215, 220, 226.) Movant filed several of the motions to continue the sentencing hearing. (Cr. Docket Nos. 142, 178, 212.) As to the motions filed by his co-defendants, Movant did not object to any of the motions to continue the sentencing hearing.</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Movant was sentenced on August 18, 2014. Movant advised the Court that he had reviewed the PSR and discussed it with his lawyer. (Cr. Docket No. 256, Sentencing Tr. 3.) Movant stated that he was remorseful for the things that he had done and for the people who had suffered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 a result of his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Movant expressed his concern for his mother and stated his desire to return to Mexico to be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Court pointed out that no one had done anything to keep him from his mother in the past, and in fact the United States had previously deported him in an attempt to make sure that he stayed in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emphasized the "horrendous" nature of Movant's crime, which included "sexually assaulting individuals who are being transported here illegally," "kicking them and hitting them," and using weapons to threaten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 The Court also noted that Movant had a pending state charge in which he allegedly assaulted his wife while she was pregnant and that Movant was involved in attacking another inmate while he was being held in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During the hearing, Movant's attorney re-urged his written objections to the PSR.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Counsel also emphasized that, over the course of six or seven years, he had seen a significant change in Movant and that now Movant "truly accepts the responsibility for what he has done."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Based on Movant's written statement accepting responsibility, the Government agreed that Movant should receive full credit for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acceptance of responsibility.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The Court granted Movant's objection to the vulnerable victim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11.) After reviewing Movant's most recent written statement accepting responsibility for his crime, the Court also granted the Government's motion that he receive the full three-point credit for acceptance of responsibility.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While these reductions significantly lowered Movant's total offense level, his Sentencing Guidelines range remained at life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However, the Court further granted Movant a downward departure pursuant to </w:t>
      </w:r>
      <w:hyperlink r:id="rId15" w:history="1">
        <w:r>
          <w:rPr>
            <w:rFonts w:ascii="arial" w:eastAsia="arial" w:hAnsi="arial" w:cs="arial"/>
            <w:b w:val="0"/>
            <w:i/>
            <w:strike w:val="0"/>
            <w:noProof w:val="0"/>
            <w:color w:val="0077CC"/>
            <w:position w:val="0"/>
            <w:sz w:val="20"/>
            <w:u w:val="single"/>
            <w:vertAlign w:val="baseline"/>
          </w:rPr>
          <w:t>U.S.S.G. § 5K2.0(a)(3)</w:t>
        </w:r>
      </w:hyperlink>
      <w:r>
        <w:rPr>
          <w:rFonts w:ascii="arial" w:eastAsia="arial" w:hAnsi="arial" w:cs="arial"/>
          <w:b w:val="0"/>
          <w:i w:val="0"/>
          <w:strike w:val="0"/>
          <w:noProof w:val="0"/>
          <w:color w:val="000000"/>
          <w:position w:val="0"/>
          <w:sz w:val="20"/>
          <w:u w:val="none"/>
          <w:vertAlign w:val="baseline"/>
        </w:rPr>
        <w:t>. This departure was based on the Court's finding that the hostage-taking offense level was excessive compared with other cases involving similar conduct that proceeded as alien harboring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12.) After considering the sentencing factors under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 District Court sentenced Movant to 204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imposing this sentence, the Court stated to Movant (among other things):</w:t>
      </w:r>
    </w:p>
    <w:p>
      <w:pPr>
        <w:keepNext w:val="0"/>
        <w:spacing w:before="200" w:after="0" w:line="260" w:lineRule="atLeast"/>
        <w:ind w:left="40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This was a horrendous crime, total disregard for the well-being of other individuals, abusive in many ways with regards of how you treated them. You have had a history in the past of being angry and going after individuals. It has continued while you have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been in custody. I've tried giving you as much consideration as possible. But, frankly, this is a sentence that you deserve based on your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Movant did not file a direct appeal. He later timely filed the instant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Movant's Allegations and the Government's Response</w:t>
      </w:r>
    </w:p>
    <w:p>
      <w:pPr>
        <w:keepNext w:val="0"/>
        <w:spacing w:before="24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In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Movant asserts the following three grounds for relief, all of which relate to the three-and-a-half-year delay between his guilty plea and his sentencing: 1) Movant was denied due process of law and denied his rights under the Speedy Trial clause of the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2) the District Court abused its discretion in granting excessive continuances of the sentencing hearing and allowing unnecessary revisions to the PSR; and 3) Movant was denied effective assistance of counsel because his attorney failed to object to the sentencing delay and unnecessary revisions of the PSR. (Docket No. 1, at 5-8.) Because Movant's first two grounds for relief both allege, in essence, that the District Court erred in allowing an excessive delay in sentencing, those claims will be addressed together.</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In moving for summary judgment, Respondent United States argues that Movant has failed to demonstrate a violation of any constitutional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right and that he "has utterly failed to allege how the delay has caused any prejudice to him." (Docket No. 6, at 24-25.) Movant filed a reply brief in support of his claims. (Docket No. 11.)</w:t>
      </w:r>
    </w:p>
    <w:p>
      <w:pPr>
        <w:keepNext w:val="0"/>
        <w:spacing w:before="24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xml:space="preserve">Movant's claims will be addressed in the context of the standard of review for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37" w:name="Bookmark_para_28"/>
      <w:bookmarkEnd w:id="37"/>
      <w:bookmarkStart w:id="38" w:name="Bookmark_I5P979YP2HM6820020000400"/>
      <w:bookmarkEnd w:id="38"/>
      <w:bookmarkStart w:id="39" w:name="Bookmark_I5P979YP2HM6820040000400"/>
      <w:bookmarkEnd w:id="39"/>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"must clear a significantly higher hurdle" than the plain error standard that would apply on direct appeal. </w:t>
      </w:r>
      <w:bookmarkStart w:id="40" w:name="Bookmark_I5P979YP2N1R5C0030000400"/>
      <w:bookmarkEnd w:id="40"/>
      <w:bookmarkStart w:id="41" w:name="Bookmark_I5P979YP2HM6820010000400"/>
      <w:bookmarkEnd w:id="41"/>
      <w:hyperlink r:id="rId18" w:history="1">
        <w:r>
          <w:rPr>
            <w:rFonts w:ascii="arial" w:eastAsia="arial" w:hAnsi="arial" w:cs="arial"/>
            <w:b w:val="0"/>
            <w:i/>
            <w:strike w:val="0"/>
            <w:noProof w:val="0"/>
            <w:color w:val="0077CC"/>
            <w:position w:val="0"/>
            <w:sz w:val="20"/>
            <w:u w:val="single"/>
            <w:vertAlign w:val="baseline"/>
          </w:rPr>
          <w:t>United States v. Frady</w:t>
        </w:r>
      </w:hyperlink>
      <w:hyperlink r:id="rId18"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42" w:name="Bookmark_I5P979YP2N1R5C0050000400"/>
      <w:bookmarkEnd w:id="42"/>
      <w:r>
        <w:rPr>
          <w:rFonts w:ascii="arial" w:eastAsia="arial" w:hAnsi="arial" w:cs="arial"/>
          <w:b w:val="0"/>
          <w:i w:val="0"/>
          <w:strike w:val="0"/>
          <w:noProof w:val="0"/>
          <w:color w:val="000000"/>
          <w:position w:val="0"/>
          <w:sz w:val="20"/>
          <w:u w:val="none"/>
          <w:vertAlign w:val="baseline"/>
        </w:rPr>
        <w:t xml:space="preserve">"Following a conviction and exhaustion or waiver of direct appeal, [courts] presume a defendant stands fairly and finally convicted." </w:t>
      </w:r>
      <w:bookmarkStart w:id="43" w:name="Bookmark_I5P979YP2HM6820030000400"/>
      <w:bookmarkEnd w:id="43"/>
      <w:hyperlink r:id="rId19" w:history="1">
        <w:r>
          <w:rPr>
            <w:rFonts w:ascii="arial" w:eastAsia="arial" w:hAnsi="arial" w:cs="arial"/>
            <w:b w:val="0"/>
            <w:i/>
            <w:strike w:val="0"/>
            <w:noProof w:val="0"/>
            <w:color w:val="0077CC"/>
            <w:position w:val="0"/>
            <w:sz w:val="20"/>
            <w:u w:val="single"/>
            <w:vertAlign w:val="baseline"/>
          </w:rPr>
          <w:t>United States v. Cervantes</w:t>
        </w:r>
      </w:hyperlink>
      <w:hyperlink r:id="rId19"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(citing </w:t>
      </w:r>
      <w:bookmarkStart w:id="44" w:name="Bookmark_I5P979YP2HM6820050000400"/>
      <w:bookmarkEnd w:id="44"/>
      <w:hyperlink r:id="rId20" w:history="1">
        <w:r>
          <w:rPr>
            <w:rFonts w:ascii="arial" w:eastAsia="arial" w:hAnsi="arial" w:cs="arial"/>
            <w:b w:val="0"/>
            <w:i/>
            <w:strike w:val="0"/>
            <w:noProof w:val="0"/>
            <w:color w:val="0077CC"/>
            <w:position w:val="0"/>
            <w:sz w:val="20"/>
            <w:u w:val="single"/>
            <w:vertAlign w:val="baseline"/>
          </w:rPr>
          <w:t>United States v. Shaid</w:t>
        </w:r>
      </w:hyperlink>
      <w:hyperlink r:id="rId20" w:history="1">
        <w:r>
          <w:rPr>
            <w:rFonts w:ascii="arial" w:eastAsia="arial" w:hAnsi="arial" w:cs="arial"/>
            <w:b w:val="0"/>
            <w:i/>
            <w:strike w:val="0"/>
            <w:noProof w:val="0"/>
            <w:color w:val="0077CC"/>
            <w:position w:val="0"/>
            <w:sz w:val="20"/>
            <w:u w:val="single"/>
            <w:vertAlign w:val="baseline"/>
          </w:rPr>
          <w:t>, 937 F.2d 228, 231-32 (5th Cir. 1991))</w:t>
        </w:r>
      </w:hyperlink>
      <w:r>
        <w:rPr>
          <w:rFonts w:ascii="arial" w:eastAsia="arial" w:hAnsi="arial" w:cs="arial"/>
          <w:b w:val="0"/>
          <w:i w:val="0"/>
          <w:strike w:val="0"/>
          <w:noProof w:val="0"/>
          <w:color w:val="000000"/>
          <w:position w:val="0"/>
          <w:sz w:val="20"/>
          <w:u w:val="none"/>
          <w:vertAlign w:val="baseline"/>
        </w:rPr>
        <w:t xml:space="preserve">. </w:t>
      </w:r>
      <w:bookmarkStart w:id="45" w:name="Bookmark_I5P979YP2N1R5C0050000400_2"/>
      <w:bookmarkEnd w:id="45"/>
      <w:bookmarkStart w:id="46" w:name="Bookmark_I5P979YP2N1R5C0030000400_2"/>
      <w:bookmarkEnd w:id="46"/>
      <w:bookmarkStart w:id="47" w:name="Bookmark_I5P979YP2N1R5D0020000400"/>
      <w:bookmarkEnd w:id="47"/>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48" w:name="Bookmark_I5P979YP2N1R5C0020000400"/>
      <w:bookmarkEnd w:id="48"/>
      <w:hyperlink r:id="rId19" w:history="1">
        <w:r>
          <w:rPr>
            <w:rFonts w:ascii="arial" w:eastAsia="arial" w:hAnsi="arial" w:cs="arial"/>
            <w:b w:val="0"/>
            <w:i/>
            <w:strike w:val="0"/>
            <w:noProof w:val="0"/>
            <w:color w:val="0077CC"/>
            <w:position w:val="0"/>
            <w:sz w:val="20"/>
            <w:u w:val="single"/>
            <w:vertAlign w:val="baseline"/>
          </w:rPr>
          <w:t>Cervantes</w:t>
        </w:r>
      </w:hyperlink>
      <w:hyperlink r:id="rId19" w:history="1">
        <w:r>
          <w:rPr>
            <w:rFonts w:ascii="arial" w:eastAsia="arial" w:hAnsi="arial" w:cs="arial"/>
            <w:b w:val="0"/>
            <w:i/>
            <w:strike w:val="0"/>
            <w:noProof w:val="0"/>
            <w:color w:val="0077CC"/>
            <w:position w:val="0"/>
            <w:sz w:val="20"/>
            <w:u w:val="single"/>
            <w:vertAlign w:val="baseline"/>
          </w:rPr>
          <w:t>, 132 F.3d at 1109</w:t>
        </w:r>
      </w:hyperlink>
      <w:r>
        <w:rPr>
          <w:rFonts w:ascii="arial" w:eastAsia="arial" w:hAnsi="arial" w:cs="arial"/>
          <w:b w:val="0"/>
          <w:i w:val="0"/>
          <w:strike w:val="0"/>
          <w:noProof w:val="0"/>
          <w:color w:val="000000"/>
          <w:position w:val="0"/>
          <w:sz w:val="20"/>
          <w:u w:val="none"/>
          <w:vertAlign w:val="baseline"/>
        </w:rPr>
        <w:t xml:space="preserve">. </w:t>
      </w:r>
      <w:bookmarkStart w:id="49" w:name="Bookmark_I5P979YP2N1R5D0020000400_2"/>
      <w:bookmarkEnd w:id="49"/>
      <w:r>
        <w:rPr>
          <w:rFonts w:ascii="arial" w:eastAsia="arial" w:hAnsi="arial" w:cs="arial"/>
          <w:b w:val="0"/>
          <w:i w:val="0"/>
          <w:strike w:val="0"/>
          <w:noProof w:val="0"/>
          <w:color w:val="000000"/>
          <w:position w:val="0"/>
          <w:sz w:val="20"/>
          <w:u w:val="none"/>
          <w:vertAlign w:val="baseline"/>
        </w:rPr>
        <w:t xml:space="preserve">Stated another way,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 of justice." </w:t>
      </w:r>
      <w:bookmarkStart w:id="50" w:name="Bookmark_I5P979YP2N1R5C0040000400"/>
      <w:bookmarkEnd w:id="50"/>
      <w:hyperlink r:id="rId21" w:history="1">
        <w:r>
          <w:rPr>
            <w:rFonts w:ascii="arial" w:eastAsia="arial" w:hAnsi="arial" w:cs="arial"/>
            <w:b w:val="0"/>
            <w:i/>
            <w:strike w:val="0"/>
            <w:noProof w:val="0"/>
            <w:color w:val="0077CC"/>
            <w:position w:val="0"/>
            <w:sz w:val="20"/>
            <w:u w:val="single"/>
            <w:vertAlign w:val="baseline"/>
          </w:rPr>
          <w:t>United States v. Vaughn</w:t>
        </w:r>
      </w:hyperlink>
      <w:hyperlink r:id="rId21"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 xml:space="preserve">. </w:t>
      </w:r>
      <w:bookmarkStart w:id="51" w:name="Bookmark_I5P979YP2N1R5D0020000400_3"/>
      <w:bookmarkEnd w:id="51"/>
      <w:r>
        <w:rPr>
          <w:rFonts w:ascii="arial" w:eastAsia="arial" w:hAnsi="arial" w:cs="arial"/>
          <w:b w:val="0"/>
          <w:i w:val="0"/>
          <w:strike w:val="0"/>
          <w:noProof w:val="0"/>
          <w:color w:val="000000"/>
          <w:position w:val="0"/>
          <w:sz w:val="20"/>
          <w:u w:val="none"/>
          <w:vertAlign w:val="baseline"/>
        </w:rPr>
        <w:t>Subject to these constraints, there are only four limited grounds upon which a federal prisoner may move to vacate,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set aside, or correct his sentence: (1) constitutional issues; (2) challenges to the District Court's jurisdiction to impose the sentence; (3) challenges to the length of a sentence in excess of the statutory maximum; and (4) claims that the sentence is otherwise subject to collateral attack.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52" w:name="Bookmark_I5P979YP2N1R5D0010000400"/>
      <w:bookmarkEnd w:id="52"/>
      <w:hyperlink r:id="rId22" w:history="1">
        <w:r>
          <w:rPr>
            <w:rFonts w:ascii="arial" w:eastAsia="arial" w:hAnsi="arial" w:cs="arial"/>
            <w:b w:val="0"/>
            <w:i/>
            <w:strike w:val="0"/>
            <w:noProof w:val="0"/>
            <w:color w:val="0077CC"/>
            <w:position w:val="0"/>
            <w:sz w:val="20"/>
            <w:u w:val="single"/>
            <w:vertAlign w:val="baseline"/>
          </w:rPr>
          <w:t>United States v. Placente</w:t>
        </w:r>
      </w:hyperlink>
      <w:hyperlink r:id="rId22" w:history="1">
        <w:r>
          <w:rPr>
            <w:rFonts w:ascii="arial" w:eastAsia="arial" w:hAnsi="arial" w:cs="arial"/>
            <w:b w:val="0"/>
            <w:i/>
            <w:strike w:val="0"/>
            <w:noProof w:val="0"/>
            <w:color w:val="0077CC"/>
            <w:position w:val="0"/>
            <w:sz w:val="20"/>
            <w:u w:val="single"/>
            <w:vertAlign w:val="baseline"/>
          </w:rPr>
          <w:t>, 81 F.3d 555, 558 (5th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Sentencing Delay Claim</w:t>
      </w:r>
    </w:p>
    <w:p>
      <w:pPr>
        <w:keepNext w:val="0"/>
        <w:spacing w:before="240" w:after="0" w:line="260" w:lineRule="atLeast"/>
        <w:ind w:left="0" w:right="0" w:firstLine="0"/>
        <w:jc w:val="both"/>
      </w:pPr>
      <w:bookmarkStart w:id="53" w:name="Bookmark_para_29"/>
      <w:bookmarkEnd w:id="53"/>
      <w:r>
        <w:rPr>
          <w:rFonts w:ascii="arial" w:eastAsia="arial" w:hAnsi="arial" w:cs="arial"/>
          <w:b w:val="0"/>
          <w:i w:val="0"/>
          <w:strike w:val="0"/>
          <w:noProof w:val="0"/>
          <w:color w:val="000000"/>
          <w:position w:val="0"/>
          <w:sz w:val="20"/>
          <w:u w:val="none"/>
          <w:vertAlign w:val="baseline"/>
        </w:rPr>
        <w:t xml:space="preserve">Movant claims that the District Court violated his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by granting excessive continuances of his sentencing, which resulted in a three-and-a-half-year delay between his guilty plea and his sentencing hearing.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Movant's claim fails both because it is procedurally barred and lacks merit.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Procedural Bar</w:t>
      </w:r>
    </w:p>
    <w:p>
      <w:pPr>
        <w:keepNext w:val="0"/>
        <w:spacing w:before="240" w:after="0" w:line="260" w:lineRule="atLeast"/>
        <w:ind w:left="0" w:right="0" w:firstLine="0"/>
        <w:jc w:val="both"/>
      </w:pPr>
      <w:bookmarkStart w:id="55" w:name="Bookmark_para_30"/>
      <w:bookmarkEnd w:id="55"/>
      <w:bookmarkStart w:id="56" w:name="Bookmark_I5P979YP2N1R5D0040000400"/>
      <w:bookmarkEnd w:id="56"/>
      <w:r>
        <w:rPr>
          <w:rFonts w:ascii="arial" w:eastAsia="arial" w:hAnsi="arial" w:cs="arial"/>
          <w:b w:val="0"/>
          <w:i w:val="0"/>
          <w:strike w:val="0"/>
          <w:noProof w:val="0"/>
          <w:color w:val="000000"/>
          <w:position w:val="0"/>
          <w:sz w:val="20"/>
          <w:u w:val="none"/>
          <w:vertAlign w:val="baseline"/>
        </w:rPr>
        <w:t xml:space="preserve">Movant's claim that excessive sentencing delay violated his constitutional rights is procedurally barred. Where a defendant fails to raise an issue in his criminal proceedings, that issue is procedurally barred from consideration in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proceedings. </w:t>
      </w:r>
      <w:bookmarkStart w:id="57" w:name="Bookmark_I6P9XJ9GNHB00006GRY003XT"/>
      <w:bookmarkEnd w:id="57"/>
      <w:bookmarkStart w:id="58" w:name="Bookmark_I6P9XJ9GSFD00006GRY003XW"/>
      <w:bookmarkEnd w:id="58"/>
      <w:bookmarkStart w:id="59" w:name="Bookmark_I5P979YP2SF89G0030000400"/>
      <w:bookmarkEnd w:id="59"/>
      <w:r>
        <w:rPr>
          <w:rFonts w:ascii="arial" w:eastAsia="arial" w:hAnsi="arial" w:cs="arial"/>
          <w:b w:val="0"/>
          <w:i/>
          <w:strike w:val="0"/>
          <w:noProof w:val="0"/>
          <w:color w:val="000000"/>
          <w:position w:val="0"/>
          <w:sz w:val="20"/>
          <w:u w:val="none"/>
          <w:vertAlign w:val="baseline"/>
        </w:rPr>
        <w:t xml:space="preserve">See </w:t>
      </w:r>
      <w:bookmarkStart w:id="60" w:name="Bookmark_I5P979YP2N1R5D0030000400"/>
      <w:bookmarkEnd w:id="60"/>
      <w:hyperlink r:id="rId23" w:history="1">
        <w:r>
          <w:rPr>
            <w:rFonts w:ascii="arial" w:eastAsia="arial" w:hAnsi="arial" w:cs="arial"/>
            <w:b w:val="0"/>
            <w:i/>
            <w:strike w:val="0"/>
            <w:noProof w:val="0"/>
            <w:color w:val="0077CC"/>
            <w:position w:val="0"/>
            <w:sz w:val="20"/>
            <w:u w:val="single"/>
            <w:vertAlign w:val="baseline"/>
          </w:rPr>
          <w:t>United States v. Lopez</w:t>
        </w:r>
      </w:hyperlink>
      <w:hyperlink r:id="rId23" w:history="1">
        <w:r>
          <w:rPr>
            <w:rFonts w:ascii="arial" w:eastAsia="arial" w:hAnsi="arial" w:cs="arial"/>
            <w:b w:val="0"/>
            <w:i/>
            <w:strike w:val="0"/>
            <w:noProof w:val="0"/>
            <w:color w:val="0077CC"/>
            <w:position w:val="0"/>
            <w:sz w:val="20"/>
            <w:u w:val="single"/>
            <w:vertAlign w:val="baseline"/>
          </w:rPr>
          <w:t>, 248 F.3d 427, 433 (5th Cir. 2001)</w:t>
        </w:r>
      </w:hyperlink>
      <w:r>
        <w:rPr>
          <w:rFonts w:ascii="arial" w:eastAsia="arial" w:hAnsi="arial" w:cs="arial"/>
          <w:b w:val="0"/>
          <w:i w:val="0"/>
          <w:strike w:val="0"/>
          <w:noProof w:val="0"/>
          <w:color w:val="000000"/>
          <w:position w:val="0"/>
          <w:sz w:val="20"/>
          <w:u w:val="none"/>
          <w:vertAlign w:val="baseline"/>
        </w:rPr>
        <w:t xml:space="preserve">; </w:t>
      </w:r>
      <w:bookmarkStart w:id="61" w:name="Bookmark_I5P979YP2N1R5D0050000400"/>
      <w:bookmarkEnd w:id="61"/>
      <w:hyperlink r:id="rId24" w:history="1">
        <w:r>
          <w:rPr>
            <w:rFonts w:ascii="arial" w:eastAsia="arial" w:hAnsi="arial" w:cs="arial"/>
            <w:b w:val="0"/>
            <w:i/>
            <w:strike w:val="0"/>
            <w:noProof w:val="0"/>
            <w:color w:val="0077CC"/>
            <w:position w:val="0"/>
            <w:sz w:val="20"/>
            <w:u w:val="single"/>
            <w:vertAlign w:val="baseline"/>
          </w:rPr>
          <w:t>United States v. Kallestad</w:t>
        </w:r>
      </w:hyperlink>
      <w:hyperlink r:id="rId24" w:history="1">
        <w:r>
          <w:rPr>
            <w:rFonts w:ascii="arial" w:eastAsia="arial" w:hAnsi="arial" w:cs="arial"/>
            <w:b w:val="0"/>
            <w:i/>
            <w:strike w:val="0"/>
            <w:noProof w:val="0"/>
            <w:color w:val="0077CC"/>
            <w:position w:val="0"/>
            <w:sz w:val="20"/>
            <w:u w:val="single"/>
            <w:vertAlign w:val="baseline"/>
          </w:rPr>
          <w:t>, 236 F.3d 225, 227 (5th Cir. 2000)</w:t>
        </w:r>
      </w:hyperlink>
      <w:r>
        <w:rPr>
          <w:rFonts w:ascii="arial" w:eastAsia="arial" w:hAnsi="arial" w:cs="arial"/>
          <w:b w:val="0"/>
          <w:i w:val="0"/>
          <w:strike w:val="0"/>
          <w:noProof w:val="0"/>
          <w:color w:val="000000"/>
          <w:position w:val="0"/>
          <w:sz w:val="20"/>
          <w:u w:val="none"/>
          <w:vertAlign w:val="baseline"/>
        </w:rPr>
        <w:t xml:space="preserve">. </w:t>
      </w:r>
      <w:bookmarkStart w:id="62" w:name="Bookmark_I6P9XJ9GM3M00006GRY003XS"/>
      <w:bookmarkEnd w:id="62"/>
      <w:bookmarkStart w:id="63" w:name="Bookmark_I6P9XJ9GR3900006GRY003XV"/>
      <w:bookmarkEnd w:id="63"/>
      <w:bookmarkStart w:id="64" w:name="Bookmark_I5P979YP2SF89G0030000400_2"/>
      <w:bookmarkEnd w:id="64"/>
      <w:bookmarkStart w:id="65" w:name="Bookmark_I5P979YP2HM6830020000400"/>
      <w:bookmarkEnd w:id="65"/>
      <w:r>
        <w:rPr>
          <w:rFonts w:ascii="arial" w:eastAsia="arial" w:hAnsi="arial" w:cs="arial"/>
          <w:b w:val="0"/>
          <w:i w:val="0"/>
          <w:strike w:val="0"/>
          <w:noProof w:val="0"/>
          <w:color w:val="000000"/>
          <w:position w:val="0"/>
          <w:sz w:val="20"/>
          <w:u w:val="none"/>
          <w:vertAlign w:val="baseline"/>
        </w:rPr>
        <w:t xml:space="preserve">A district court may consider a defaulted claim only if the petitioner can demonstrate either: (1) cause for his default and actual prejudice; or (2) that he is actually innocent of the crime charged. </w:t>
      </w:r>
      <w:bookmarkStart w:id="66" w:name="Bookmark_I5P979YP2SF89G0020000400"/>
      <w:bookmarkEnd w:id="66"/>
      <w:hyperlink r:id="rId25" w:history="1">
        <w:r>
          <w:rPr>
            <w:rFonts w:ascii="arial" w:eastAsia="arial" w:hAnsi="arial" w:cs="arial"/>
            <w:b w:val="0"/>
            <w:i/>
            <w:strike w:val="0"/>
            <w:noProof w:val="0"/>
            <w:color w:val="0077CC"/>
            <w:position w:val="0"/>
            <w:sz w:val="20"/>
            <w:u w:val="single"/>
            <w:vertAlign w:val="baseline"/>
          </w:rPr>
          <w:t>Bousley v. United States</w:t>
        </w:r>
      </w:hyperlink>
      <w:hyperlink r:id="rId25" w:history="1">
        <w:r>
          <w:rPr>
            <w:rFonts w:ascii="arial" w:eastAsia="arial" w:hAnsi="arial" w:cs="arial"/>
            <w:b w:val="0"/>
            <w:i/>
            <w:strike w:val="0"/>
            <w:noProof w:val="0"/>
            <w:color w:val="0077CC"/>
            <w:position w:val="0"/>
            <w:sz w:val="20"/>
            <w:u w:val="single"/>
            <w:vertAlign w:val="baseline"/>
          </w:rPr>
          <w:t>, 523 U.S. 614, 622, 118 S. Ct. 1604, 140 L. Ed. 2d 828 (1998)</w:t>
        </w:r>
      </w:hyperlink>
      <w:r>
        <w:rPr>
          <w:rFonts w:ascii="arial" w:eastAsia="arial" w:hAnsi="arial" w:cs="arial"/>
          <w:b w:val="0"/>
          <w:i w:val="0"/>
          <w:strike w:val="0"/>
          <w:noProof w:val="0"/>
          <w:color w:val="000000"/>
          <w:position w:val="0"/>
          <w:sz w:val="20"/>
          <w:u w:val="none"/>
          <w:vertAlign w:val="baseline"/>
        </w:rPr>
        <w:t xml:space="preserve">; </w:t>
      </w:r>
      <w:bookmarkStart w:id="67" w:name="Bookmark_I5P979YP2SF89G0040000400"/>
      <w:bookmarkEnd w:id="67"/>
      <w:hyperlink r:id="rId26" w:history="1">
        <w:r>
          <w:rPr>
            <w:rFonts w:ascii="arial" w:eastAsia="arial" w:hAnsi="arial" w:cs="arial"/>
            <w:b w:val="0"/>
            <w:i/>
            <w:strike w:val="0"/>
            <w:noProof w:val="0"/>
            <w:color w:val="0077CC"/>
            <w:position w:val="0"/>
            <w:sz w:val="20"/>
            <w:u w:val="single"/>
            <w:vertAlign w:val="baseline"/>
          </w:rPr>
          <w:t>United States v. Jones</w:t>
        </w:r>
      </w:hyperlink>
      <w:hyperlink r:id="rId26" w:history="1">
        <w:r>
          <w:rPr>
            <w:rFonts w:ascii="arial" w:eastAsia="arial" w:hAnsi="arial" w:cs="arial"/>
            <w:b w:val="0"/>
            <w:i/>
            <w:strike w:val="0"/>
            <w:noProof w:val="0"/>
            <w:color w:val="0077CC"/>
            <w:position w:val="0"/>
            <w:sz w:val="20"/>
            <w:u w:val="single"/>
            <w:vertAlign w:val="baseline"/>
          </w:rPr>
          <w:t>, 172 F.3d 381, 384 (5th Cir. 1999)</w:t>
        </w:r>
      </w:hyperlink>
      <w:r>
        <w:rPr>
          <w:rFonts w:ascii="arial" w:eastAsia="arial" w:hAnsi="arial" w:cs="arial"/>
          <w:b w:val="0"/>
          <w:i w:val="0"/>
          <w:strike w:val="0"/>
          <w:noProof w:val="0"/>
          <w:color w:val="000000"/>
          <w:position w:val="0"/>
          <w:sz w:val="20"/>
          <w:u w:val="none"/>
          <w:vertAlign w:val="baseline"/>
        </w:rPr>
        <w:t xml:space="preserve">. </w:t>
      </w:r>
      <w:bookmarkStart w:id="68" w:name="Bookmark_I5P979YP2HM6830020000400_2"/>
      <w:bookmarkEnd w:id="68"/>
      <w:r>
        <w:rPr>
          <w:rFonts w:ascii="arial" w:eastAsia="arial" w:hAnsi="arial" w:cs="arial"/>
          <w:b w:val="0"/>
          <w:i w:val="0"/>
          <w:strike w:val="0"/>
          <w:noProof w:val="0"/>
          <w:color w:val="000000"/>
          <w:position w:val="0"/>
          <w:sz w:val="20"/>
          <w:u w:val="none"/>
          <w:vertAlign w:val="baseline"/>
        </w:rPr>
        <w:t>"A defendant must meet this cause and actual prejudice test even when he alleges a fundamental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constitutional error." </w:t>
      </w:r>
      <w:bookmarkStart w:id="69" w:name="Bookmark_I5P979YP2HM6830010000400"/>
      <w:bookmarkEnd w:id="69"/>
      <w:hyperlink r:id="rId20" w:history="1">
        <w:r>
          <w:rPr>
            <w:rFonts w:ascii="arial" w:eastAsia="arial" w:hAnsi="arial" w:cs="arial"/>
            <w:b w:val="0"/>
            <w:i/>
            <w:strike w:val="0"/>
            <w:noProof w:val="0"/>
            <w:color w:val="0077CC"/>
            <w:position w:val="0"/>
            <w:sz w:val="20"/>
            <w:u w:val="single"/>
            <w:vertAlign w:val="baseline"/>
          </w:rPr>
          <w:t>United States v. Shaid</w:t>
        </w:r>
      </w:hyperlink>
      <w:hyperlink r:id="rId20" w:history="1">
        <w:r>
          <w:rPr>
            <w:rFonts w:ascii="arial" w:eastAsia="arial" w:hAnsi="arial" w:cs="arial"/>
            <w:b w:val="0"/>
            <w:i/>
            <w:strike w:val="0"/>
            <w:noProof w:val="0"/>
            <w:color w:val="0077CC"/>
            <w:position w:val="0"/>
            <w:sz w:val="20"/>
            <w:u w:val="single"/>
            <w:vertAlign w:val="baseline"/>
          </w:rPr>
          <w:t>, 937 F.2d 228, 232 (5th Cir. 1991)</w:t>
        </w:r>
      </w:hyperlink>
      <w:r>
        <w:rPr>
          <w:rFonts w:ascii="arial" w:eastAsia="arial" w:hAnsi="arial" w:cs="arial"/>
          <w:b w:val="0"/>
          <w:i w:val="0"/>
          <w:strike w:val="0"/>
          <w:noProof w:val="0"/>
          <w:color w:val="000000"/>
          <w:position w:val="0"/>
          <w:sz w:val="20"/>
          <w:u w:val="none"/>
          <w:vertAlign w:val="baseline"/>
        </w:rPr>
        <w:t xml:space="preserve"> (citing </w:t>
      </w:r>
      <w:bookmarkStart w:id="70" w:name="Bookmark_I5P979YP2HM6830030000400"/>
      <w:bookmarkEnd w:id="70"/>
      <w:hyperlink r:id="rId27" w:history="1">
        <w:r>
          <w:rPr>
            <w:rFonts w:ascii="arial" w:eastAsia="arial" w:hAnsi="arial" w:cs="arial"/>
            <w:b w:val="0"/>
            <w:i/>
            <w:strike w:val="0"/>
            <w:noProof w:val="0"/>
            <w:color w:val="0077CC"/>
            <w:position w:val="0"/>
            <w:sz w:val="20"/>
            <w:u w:val="single"/>
            <w:vertAlign w:val="baseline"/>
          </w:rPr>
          <w:t>Murray v. Carrier</w:t>
        </w:r>
      </w:hyperlink>
      <w:hyperlink r:id="rId27" w:history="1">
        <w:r>
          <w:rPr>
            <w:rFonts w:ascii="arial" w:eastAsia="arial" w:hAnsi="arial" w:cs="arial"/>
            <w:b w:val="0"/>
            <w:i/>
            <w:strike w:val="0"/>
            <w:noProof w:val="0"/>
            <w:color w:val="0077CC"/>
            <w:position w:val="0"/>
            <w:sz w:val="20"/>
            <w:u w:val="single"/>
            <w:vertAlign w:val="baseline"/>
          </w:rPr>
          <w:t>, 477 U.S. 478, 493, 106 S. Ct. 2639, 91 L. Ed. 2d 397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31"/>
      <w:bookmarkEnd w:id="71"/>
      <w:r>
        <w:rPr>
          <w:rFonts w:ascii="arial" w:eastAsia="arial" w:hAnsi="arial" w:cs="arial"/>
          <w:b w:val="0"/>
          <w:i w:val="0"/>
          <w:strike w:val="0"/>
          <w:noProof w:val="0"/>
          <w:color w:val="000000"/>
          <w:position w:val="0"/>
          <w:sz w:val="20"/>
          <w:u w:val="none"/>
          <w:vertAlign w:val="baseline"/>
        </w:rPr>
        <w:t xml:space="preserve">Here, Movant did not object to any of the motions to continue sentencing that were granted by the Court, nor did Movant challenge the sentencing delay at any point during his criminal proceedings. As noted, Movant did not file a direct appeal. Further, Movant has not made a showing of cause and prejudice to overcome his default. As such, his constitutional claim alleging excessive sentencing delay is procedurally barred and should not be considered in this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 Nevertheless, in an abundance of caution, the merits of this claim will be addressed.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Right to a Speedy Trial</w:t>
      </w:r>
    </w:p>
    <w:p>
      <w:pPr>
        <w:keepNext w:val="0"/>
        <w:spacing w:before="240" w:after="0" w:line="260" w:lineRule="atLeast"/>
        <w:ind w:left="0" w:right="0" w:firstLine="0"/>
        <w:jc w:val="both"/>
      </w:pPr>
      <w:bookmarkStart w:id="72" w:name="Bookmark_para_32"/>
      <w:bookmarkEnd w:id="72"/>
      <w:bookmarkStart w:id="73" w:name="Bookmark_I5P979YP2HM6840010000400"/>
      <w:bookmarkEnd w:id="73"/>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right to a speedy ... trial. </w:t>
      </w:r>
      <w:hyperlink r:id="rId17"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Fifth Circuit has held that the "constitutionally guaranteed right to a speedy trial applies to sentencing." </w:t>
      </w:r>
      <w:bookmarkStart w:id="74" w:name="Bookmark_I5P979YP2HM6830050000400"/>
      <w:bookmarkEnd w:id="74"/>
      <w:hyperlink r:id="rId28" w:history="1">
        <w:r>
          <w:rPr>
            <w:rFonts w:ascii="arial" w:eastAsia="arial" w:hAnsi="arial" w:cs="arial"/>
            <w:b w:val="0"/>
            <w:i/>
            <w:strike w:val="0"/>
            <w:noProof w:val="0"/>
            <w:color w:val="0077CC"/>
            <w:position w:val="0"/>
            <w:sz w:val="20"/>
            <w:u w:val="single"/>
            <w:vertAlign w:val="baseline"/>
          </w:rPr>
          <w:t>United States v. Abou—Kassem</w:t>
        </w:r>
      </w:hyperlink>
      <w:hyperlink r:id="rId28" w:history="1">
        <w:r>
          <w:rPr>
            <w:rFonts w:ascii="arial" w:eastAsia="arial" w:hAnsi="arial" w:cs="arial"/>
            <w:b w:val="0"/>
            <w:i/>
            <w:strike w:val="0"/>
            <w:noProof w:val="0"/>
            <w:color w:val="0077CC"/>
            <w:position w:val="0"/>
            <w:sz w:val="20"/>
            <w:u w:val="single"/>
            <w:vertAlign w:val="baseline"/>
          </w:rPr>
          <w:t>, 78 F.3d 161, 167 (5th Cir.1996)</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5P979YP2HM6840020000400"/>
      <w:bookmarkEnd w:id="75"/>
      <w:hyperlink r:id="rId29" w:history="1">
        <w:r>
          <w:rPr>
            <w:rFonts w:ascii="arial" w:eastAsia="arial" w:hAnsi="arial" w:cs="arial"/>
            <w:b w:val="0"/>
            <w:i/>
            <w:strike w:val="0"/>
            <w:noProof w:val="0"/>
            <w:color w:val="0077CC"/>
            <w:position w:val="0"/>
            <w:sz w:val="20"/>
            <w:u w:val="single"/>
            <w:vertAlign w:val="baseline"/>
          </w:rPr>
          <w:t>United States v. Howard</w:t>
        </w:r>
      </w:hyperlink>
      <w:hyperlink r:id="rId29" w:history="1">
        <w:r>
          <w:rPr>
            <w:rFonts w:ascii="arial" w:eastAsia="arial" w:hAnsi="arial" w:cs="arial"/>
            <w:b w:val="0"/>
            <w:i/>
            <w:strike w:val="0"/>
            <w:noProof w:val="0"/>
            <w:color w:val="0077CC"/>
            <w:position w:val="0"/>
            <w:sz w:val="20"/>
            <w:u w:val="single"/>
            <w:vertAlign w:val="baseline"/>
          </w:rPr>
          <w:t>, 577 F.2d 269 (5th Cir.1978))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33"/>
      <w:bookmarkEnd w:id="76"/>
      <w:bookmarkStart w:id="77" w:name="Bookmark_I4JBTY5GRYH000W0MK7000HJ"/>
      <w:bookmarkEnd w:id="77"/>
      <w:bookmarkStart w:id="78" w:name="Bookmark_I5P979YP2HM6840050000400"/>
      <w:bookmarkEnd w:id="78"/>
      <w:bookmarkStart w:id="79" w:name="Bookmark_I4C486C0XMH00008DPW003XF"/>
      <w:bookmarkEnd w:id="79"/>
      <w:bookmarkStart w:id="80" w:name="Bookmark_I4C486C109P00008DPW003XG"/>
      <w:bookmarkEnd w:id="80"/>
      <w:bookmarkStart w:id="81" w:name="Bookmark_I4C486C1CKS00008DPW003XR"/>
      <w:bookmarkEnd w:id="81"/>
      <w:bookmarkStart w:id="82" w:name="Bookmark_I5P979YP28T4660020000400"/>
      <w:bookmarkEnd w:id="82"/>
      <w:bookmarkStart w:id="83" w:name="Bookmark_I4C486C11W100008DPW003XH"/>
      <w:bookmarkEnd w:id="83"/>
      <w:bookmarkStart w:id="84" w:name="Bookmark_I5P979YP2D6NM00030000400"/>
      <w:bookmarkEnd w:id="84"/>
      <w:r>
        <w:rPr>
          <w:rFonts w:ascii="arial" w:eastAsia="arial" w:hAnsi="arial" w:cs="arial"/>
          <w:b w:val="0"/>
          <w:i w:val="0"/>
          <w:strike w:val="0"/>
          <w:noProof w:val="0"/>
          <w:color w:val="000000"/>
          <w:position w:val="0"/>
          <w:sz w:val="20"/>
          <w:u w:val="none"/>
          <w:vertAlign w:val="baseline"/>
        </w:rPr>
        <w:t xml:space="preserve">In evaluating speedy trial claims, including those involving sentencing delays, the Fifth Circuit has applied the four-factor test established in </w:t>
      </w:r>
      <w:bookmarkStart w:id="85" w:name="Bookmark_I5P979YP2HM6840040000400"/>
      <w:bookmarkEnd w:id="85"/>
      <w:hyperlink r:id="rId30" w:history="1">
        <w:r>
          <w:rPr>
            <w:rFonts w:ascii="arial" w:eastAsia="arial" w:hAnsi="arial" w:cs="arial"/>
            <w:b w:val="0"/>
            <w:i/>
            <w:strike w:val="0"/>
            <w:noProof w:val="0"/>
            <w:color w:val="0077CC"/>
            <w:position w:val="0"/>
            <w:sz w:val="20"/>
            <w:u w:val="single"/>
            <w:vertAlign w:val="baseline"/>
          </w:rPr>
          <w:t>Barker v. Wingo</w:t>
        </w:r>
      </w:hyperlink>
      <w:hyperlink r:id="rId30" w:history="1">
        <w:r>
          <w:rPr>
            <w:rFonts w:ascii="arial" w:eastAsia="arial" w:hAnsi="arial" w:cs="arial"/>
            <w:b w:val="0"/>
            <w:i/>
            <w:strike w:val="0"/>
            <w:noProof w:val="0"/>
            <w:color w:val="0077CC"/>
            <w:position w:val="0"/>
            <w:sz w:val="20"/>
            <w:u w:val="single"/>
            <w:vertAlign w:val="baseline"/>
          </w:rPr>
          <w:t>, 407 U.S. 514, 92 S. Ct. 2182, 33 L. Ed. 2d 101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6" w:name="Bookmark_I5P979YP28T4660010000400"/>
      <w:bookmarkEnd w:id="86"/>
      <w:hyperlink r:id="rId28" w:history="1">
        <w:r>
          <w:rPr>
            <w:rFonts w:ascii="arial" w:eastAsia="arial" w:hAnsi="arial" w:cs="arial"/>
            <w:b w:val="0"/>
            <w:i/>
            <w:strike w:val="0"/>
            <w:noProof w:val="0"/>
            <w:color w:val="0077CC"/>
            <w:position w:val="0"/>
            <w:sz w:val="20"/>
            <w:u w:val="single"/>
            <w:vertAlign w:val="baseline"/>
          </w:rPr>
          <w:t>Abou</w:t>
        </w:r>
      </w:hyperlink>
      <w:hyperlink r:id="rId28" w:history="1">
        <w:r>
          <w:rPr>
            <w:rFonts w:ascii="arial" w:eastAsia="arial" w:hAnsi="arial" w:cs="arial"/>
            <w:b w:val="0"/>
            <w:i/>
            <w:strike w:val="0"/>
            <w:noProof w:val="0"/>
            <w:color w:val="0077CC"/>
            <w:position w:val="0"/>
            <w:sz w:val="20"/>
            <w:u w:val="single"/>
            <w:vertAlign w:val="baseline"/>
          </w:rPr>
          <w:t>—Kassem</w:t>
        </w:r>
      </w:hyperlink>
      <w:hyperlink r:id="rId28" w:history="1">
        <w:r>
          <w:rPr>
            <w:rFonts w:ascii="arial" w:eastAsia="arial" w:hAnsi="arial" w:cs="arial"/>
            <w:b w:val="0"/>
            <w:i/>
            <w:strike w:val="0"/>
            <w:noProof w:val="0"/>
            <w:color w:val="0077CC"/>
            <w:position w:val="0"/>
            <w:sz w:val="20"/>
            <w:u w:val="single"/>
            <w:vertAlign w:val="baseline"/>
          </w:rPr>
          <w:t>, 78 F.3d at 167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7" w:name="Bookmark_I5P979YP28T4660030000400"/>
      <w:bookmarkEnd w:id="87"/>
      <w:hyperlink r:id="rId31" w:history="1">
        <w:r>
          <w:rPr>
            <w:rFonts w:ascii="arial" w:eastAsia="arial" w:hAnsi="arial" w:cs="arial"/>
            <w:b w:val="0"/>
            <w:i/>
            <w:strike w:val="0"/>
            <w:noProof w:val="0"/>
            <w:color w:val="0077CC"/>
            <w:position w:val="0"/>
            <w:sz w:val="20"/>
            <w:u w:val="single"/>
            <w:vertAlign w:val="baseline"/>
          </w:rPr>
          <w:t>United States v. Washington</w:t>
        </w:r>
      </w:hyperlink>
      <w:hyperlink r:id="rId31" w:history="1">
        <w:r>
          <w:rPr>
            <w:rFonts w:ascii="arial" w:eastAsia="arial" w:hAnsi="arial" w:cs="arial"/>
            <w:b w:val="0"/>
            <w:i/>
            <w:strike w:val="0"/>
            <w:noProof w:val="0"/>
            <w:color w:val="0077CC"/>
            <w:position w:val="0"/>
            <w:sz w:val="20"/>
            <w:u w:val="single"/>
            <w:vertAlign w:val="baseline"/>
          </w:rPr>
          <w:t>, 626 F. App'x 485, 487 (5th Cir. 2015)</w:t>
        </w:r>
      </w:hyperlink>
      <w:r>
        <w:rPr>
          <w:rFonts w:ascii="arial" w:eastAsia="arial" w:hAnsi="arial" w:cs="arial"/>
          <w:b w:val="0"/>
          <w:i w:val="0"/>
          <w:strike w:val="0"/>
          <w:noProof w:val="0"/>
          <w:color w:val="000000"/>
          <w:position w:val="0"/>
          <w:sz w:val="20"/>
          <w:u w:val="none"/>
          <w:vertAlign w:val="baseline"/>
        </w:rPr>
        <w:t xml:space="preserve"> (applying the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factors to a claim of sentencing delay); </w:t>
      </w:r>
      <w:bookmarkStart w:id="88" w:name="Bookmark_I5P979YP28T4660050000400"/>
      <w:bookmarkEnd w:id="88"/>
      <w:hyperlink r:id="rId32" w:history="1">
        <w:r>
          <w:rPr>
            <w:rFonts w:ascii="arial" w:eastAsia="arial" w:hAnsi="arial" w:cs="arial"/>
            <w:b w:val="0"/>
            <w:i/>
            <w:strike w:val="0"/>
            <w:noProof w:val="0"/>
            <w:color w:val="0077CC"/>
            <w:position w:val="0"/>
            <w:sz w:val="20"/>
            <w:u w:val="single"/>
            <w:vertAlign w:val="baseline"/>
          </w:rPr>
          <w:t>United States v. Campbell</w:t>
        </w:r>
      </w:hyperlink>
      <w:hyperlink r:id="rId32" w:history="1">
        <w:r>
          <w:rPr>
            <w:rFonts w:ascii="arial" w:eastAsia="arial" w:hAnsi="arial" w:cs="arial"/>
            <w:b w:val="0"/>
            <w:i/>
            <w:strike w:val="0"/>
            <w:noProof w:val="0"/>
            <w:color w:val="0077CC"/>
            <w:position w:val="0"/>
            <w:sz w:val="20"/>
            <w:u w:val="single"/>
            <w:vertAlign w:val="baseline"/>
          </w:rPr>
          <w:t>, 531 F.2d 1333, 1335 (5th Cir. 1976)</w:t>
        </w:r>
      </w:hyperlink>
      <w:r>
        <w:rPr>
          <w:rFonts w:ascii="arial" w:eastAsia="arial" w:hAnsi="arial" w:cs="arial"/>
          <w:b w:val="0"/>
          <w:i w:val="0"/>
          <w:strike w:val="0"/>
          <w:noProof w:val="0"/>
          <w:color w:val="000000"/>
          <w:position w:val="0"/>
          <w:sz w:val="20"/>
          <w:u w:val="none"/>
          <w:vertAlign w:val="baseline"/>
        </w:rPr>
        <w:t xml:space="preserve"> (same). "The four factors are: (1) length of delay; (2) the reason for the delay; (3) the defendant's diligence in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asserting his right; and (4) the prejudice to the defendant." </w:t>
      </w:r>
      <w:bookmarkStart w:id="89" w:name="Bookmark_I5P979YP2D6NM00020000400"/>
      <w:bookmarkEnd w:id="89"/>
      <w:hyperlink r:id="rId31" w:history="1">
        <w:r>
          <w:rPr>
            <w:rFonts w:ascii="arial" w:eastAsia="arial" w:hAnsi="arial" w:cs="arial"/>
            <w:b w:val="0"/>
            <w:i/>
            <w:strike w:val="0"/>
            <w:noProof w:val="0"/>
            <w:color w:val="0077CC"/>
            <w:position w:val="0"/>
            <w:sz w:val="20"/>
            <w:u w:val="single"/>
            <w:vertAlign w:val="baseline"/>
          </w:rPr>
          <w:t>Washington</w:t>
        </w:r>
      </w:hyperlink>
      <w:hyperlink r:id="rId31" w:history="1">
        <w:r>
          <w:rPr>
            <w:rFonts w:ascii="arial" w:eastAsia="arial" w:hAnsi="arial" w:cs="arial"/>
            <w:b w:val="0"/>
            <w:i/>
            <w:strike w:val="0"/>
            <w:noProof w:val="0"/>
            <w:color w:val="0077CC"/>
            <w:position w:val="0"/>
            <w:sz w:val="20"/>
            <w:u w:val="single"/>
            <w:vertAlign w:val="baseline"/>
          </w:rPr>
          <w:t>, 626 F. App'x at 487</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5P979YP2D6NM00040000400"/>
      <w:bookmarkEnd w:id="90"/>
      <w:hyperlink r:id="rId30" w:history="1">
        <w:r>
          <w:rPr>
            <w:rFonts w:ascii="arial" w:eastAsia="arial" w:hAnsi="arial" w:cs="arial"/>
            <w:b w:val="0"/>
            <w:i/>
            <w:strike w:val="0"/>
            <w:noProof w:val="0"/>
            <w:color w:val="0077CC"/>
            <w:position w:val="0"/>
            <w:sz w:val="20"/>
            <w:u w:val="single"/>
            <w:vertAlign w:val="baseline"/>
          </w:rPr>
          <w:t>Barker</w:t>
        </w:r>
      </w:hyperlink>
      <w:hyperlink r:id="rId30" w:history="1">
        <w:r>
          <w:rPr>
            <w:rFonts w:ascii="arial" w:eastAsia="arial" w:hAnsi="arial" w:cs="arial"/>
            <w:b w:val="0"/>
            <w:i/>
            <w:strike w:val="0"/>
            <w:noProof w:val="0"/>
            <w:color w:val="0077CC"/>
            <w:position w:val="0"/>
            <w:sz w:val="20"/>
            <w:u w:val="single"/>
            <w:vertAlign w:val="baseline"/>
          </w:rPr>
          <w:t>, 407 U.S. at 530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34"/>
      <w:bookmarkEnd w:id="91"/>
      <w:bookmarkStart w:id="92" w:name="Bookmark_I5P979YP2SF89J0020000400"/>
      <w:bookmarkEnd w:id="92"/>
      <w:r>
        <w:rPr>
          <w:rFonts w:ascii="arial" w:eastAsia="arial" w:hAnsi="arial" w:cs="arial"/>
          <w:b w:val="0"/>
          <w:i w:val="0"/>
          <w:strike w:val="0"/>
          <w:noProof w:val="0"/>
          <w:color w:val="000000"/>
          <w:position w:val="0"/>
          <w:sz w:val="20"/>
          <w:u w:val="none"/>
          <w:vertAlign w:val="baseline"/>
        </w:rPr>
        <w:t xml:space="preserve">Applying the first factor here, the three-and-a-half-year delay in Movant's sentencing tends to support his claim, but it does not by itself warrant relief. </w:t>
      </w:r>
      <w:r>
        <w:rPr>
          <w:rFonts w:ascii="arial" w:eastAsia="arial" w:hAnsi="arial" w:cs="arial"/>
          <w:b w:val="0"/>
          <w:i/>
          <w:strike w:val="0"/>
          <w:noProof w:val="0"/>
          <w:color w:val="000000"/>
          <w:position w:val="0"/>
          <w:sz w:val="20"/>
          <w:u w:val="none"/>
          <w:vertAlign w:val="baseline"/>
        </w:rPr>
        <w:t xml:space="preserve">See </w:t>
      </w:r>
      <w:bookmarkStart w:id="93" w:name="Bookmark_I5P979YP2SF89J0010000400"/>
      <w:bookmarkEnd w:id="93"/>
      <w:hyperlink r:id="rId32" w:history="1">
        <w:r>
          <w:rPr>
            <w:rFonts w:ascii="arial" w:eastAsia="arial" w:hAnsi="arial" w:cs="arial"/>
            <w:b w:val="0"/>
            <w:i/>
            <w:strike w:val="0"/>
            <w:noProof w:val="0"/>
            <w:color w:val="0077CC"/>
            <w:position w:val="0"/>
            <w:sz w:val="20"/>
            <w:u w:val="single"/>
            <w:vertAlign w:val="baseline"/>
          </w:rPr>
          <w:t>Campbell</w:t>
        </w:r>
      </w:hyperlink>
      <w:hyperlink r:id="rId32" w:history="1">
        <w:r>
          <w:rPr>
            <w:rFonts w:ascii="arial" w:eastAsia="arial" w:hAnsi="arial" w:cs="arial"/>
            <w:b w:val="0"/>
            <w:i/>
            <w:strike w:val="0"/>
            <w:noProof w:val="0"/>
            <w:color w:val="0077CC"/>
            <w:position w:val="0"/>
            <w:sz w:val="20"/>
            <w:u w:val="single"/>
            <w:vertAlign w:val="baseline"/>
          </w:rPr>
          <w:t>, 531 F.2d at 1335</w:t>
        </w:r>
      </w:hyperlink>
      <w:r>
        <w:rPr>
          <w:rFonts w:ascii="arial" w:eastAsia="arial" w:hAnsi="arial" w:cs="arial"/>
          <w:b w:val="0"/>
          <w:i w:val="0"/>
          <w:strike w:val="0"/>
          <w:noProof w:val="0"/>
          <w:color w:val="000000"/>
          <w:position w:val="0"/>
          <w:sz w:val="20"/>
          <w:u w:val="none"/>
          <w:vertAlign w:val="baseline"/>
        </w:rPr>
        <w:t xml:space="preserve"> (finding that a delay of six years from conviction until final sentencing (including a four-year delay by the BOP in commencing a sentencing study) was "clearly unreasonable, but does not by itself require relief").</w:t>
      </w:r>
    </w:p>
    <w:p>
      <w:pPr>
        <w:keepNext w:val="0"/>
        <w:spacing w:before="200" w:after="0" w:line="260" w:lineRule="atLeast"/>
        <w:ind w:left="0" w:right="0" w:firstLine="0"/>
        <w:jc w:val="both"/>
      </w:pPr>
      <w:bookmarkStart w:id="94" w:name="Bookmark_para_35"/>
      <w:bookmarkEnd w:id="94"/>
      <w:r>
        <w:rPr>
          <w:rFonts w:ascii="arial" w:eastAsia="arial" w:hAnsi="arial" w:cs="arial"/>
          <w:b w:val="0"/>
          <w:i w:val="0"/>
          <w:strike w:val="0"/>
          <w:noProof w:val="0"/>
          <w:color w:val="000000"/>
          <w:position w:val="0"/>
          <w:sz w:val="20"/>
          <w:u w:val="none"/>
          <w:vertAlign w:val="baseline"/>
        </w:rPr>
        <w:t>None of the other factors supports Movant's speedy trial claim. As to the second factor, the record shows that the delay was caused by numerous motions to continue filed by Movant and his co-defendants.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Docket Nos. 142, 159, 174, 178, 195, 212, 215, 220, 226.) Movant filed several of the motions, and he did not oppose any of the motions filed by his co-defendants. Movant should not be heard to complain about sentencing delays that he either requested or agreed to. Similarly, the diligence factor does not support Movant's claim. The record shows that Movant did not raise a speedy trial claim at any point during his criminal proceedings, nor did he ever oppose any of the motions to continue sentencing filed by his co-defendants.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Movant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first complained about sentencing delay in this post-conviction collateral proceeding.</w:t>
      </w:r>
    </w:p>
    <w:p>
      <w:pPr>
        <w:keepNext w:val="0"/>
        <w:spacing w:before="200" w:after="0" w:line="260" w:lineRule="atLeast"/>
        <w:ind w:left="0" w:right="0" w:firstLine="0"/>
        <w:jc w:val="both"/>
      </w:pPr>
      <w:bookmarkStart w:id="97" w:name="Bookmark_para_36"/>
      <w:bookmarkEnd w:id="97"/>
      <w:r>
        <w:rPr>
          <w:rFonts w:ascii="arial" w:eastAsia="arial" w:hAnsi="arial" w:cs="arial"/>
          <w:b w:val="0"/>
          <w:i w:val="0"/>
          <w:strike w:val="0"/>
          <w:noProof w:val="0"/>
          <w:color w:val="000000"/>
          <w:position w:val="0"/>
          <w:sz w:val="20"/>
          <w:u w:val="none"/>
          <w:vertAlign w:val="baseline"/>
        </w:rPr>
        <w:t>Finally, and most important, Movant has failed to show any way in which he was prejudiced by the delay. Movant has not—and cannot—claim that his sentence was longer due to delay in his sentencing. Beginning with the initial PSR and continuing through the final PSR, the Probation Office determined that Movant's sentence under the Guidelines was life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Docket Nos. 127 (first PSR), 205 (4th revised PSR).) If anything, the delay in Movant's sentencing appears to have significantly benefitted Movant. During the sentencing hearing, Movant's counsel stated that Movant had changed for the better during the years that counsel had represented him. (Cr. Docket No. 256, Sentencing Tr. 7-8.) Although Movant did not acknowledge or accept responsibility for his actions during his initial interview with the probation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 Docket No. 127, ¶¶ 54, 66), the passage of time allowed his attorney to assert at sentencing that Movant had changed and "truly accepts the responsibility for what he has done."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(Cr. Docket No. 256, Sentencing Tr. 7.) Counsel also assisted Movant in filing a written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acceptance of responsibility, which the District Court relied upon in granting Movant full credit for acceptance of responsibility (notwithstanding Movant's earlier false statements to the probation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10.) In addition, it appears that the delay in Movant's sentencing may have played a role in the Court's decision to grant Movant a downward departure based on the finding that the hostage-taking offense level was excessive under the circumstances.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downward departure led to Movant's 204-month sentence, which was obviously far below the life sentence he was otherwise facing under the Sentencing Guidelines.</w:t>
      </w:r>
    </w:p>
    <w:p>
      <w:pPr>
        <w:keepNext w:val="0"/>
        <w:spacing w:before="200" w:after="0" w:line="260" w:lineRule="atLeast"/>
        <w:ind w:left="0" w:right="0" w:firstLine="0"/>
        <w:jc w:val="both"/>
      </w:pPr>
      <w:bookmarkStart w:id="100" w:name="Bookmark_para_37"/>
      <w:bookmarkEnd w:id="100"/>
      <w:r>
        <w:rPr>
          <w:rFonts w:ascii="arial" w:eastAsia="arial" w:hAnsi="arial" w:cs="arial"/>
          <w:b w:val="0"/>
          <w:i w:val="0"/>
          <w:strike w:val="0"/>
          <w:noProof w:val="0"/>
          <w:color w:val="000000"/>
          <w:position w:val="0"/>
          <w:sz w:val="20"/>
          <w:u w:val="none"/>
          <w:vertAlign w:val="baseline"/>
        </w:rPr>
        <w:t xml:space="preserve">In sum, application of the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factors shows that the delay in Movant's sentencing did not violate his constitutional right to a speedy trial. Movant was not prejudiced by the delay in his sentencing, and in all likelihood his sentence was substantially lower as a result of the delay. Movant's speedy trial claim should be rejected.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Ineffective Assistance of Counsel Claim</w:t>
      </w:r>
    </w:p>
    <w:p>
      <w:pPr>
        <w:keepNext w:val="0"/>
        <w:spacing w:before="240" w:after="0" w:line="260" w:lineRule="atLeast"/>
        <w:ind w:left="0" w:right="0" w:firstLine="0"/>
        <w:jc w:val="both"/>
      </w:pPr>
      <w:bookmarkStart w:id="101" w:name="Bookmark_para_38"/>
      <w:bookmarkEnd w:id="101"/>
      <w:r>
        <w:rPr>
          <w:rFonts w:ascii="arial" w:eastAsia="arial" w:hAnsi="arial" w:cs="arial"/>
          <w:b w:val="0"/>
          <w:i w:val="0"/>
          <w:strike w:val="0"/>
          <w:noProof w:val="0"/>
          <w:color w:val="000000"/>
          <w:position w:val="0"/>
          <w:sz w:val="20"/>
          <w:u w:val="none"/>
          <w:vertAlign w:val="baseline"/>
        </w:rPr>
        <w:t xml:space="preserve">Movant claims that his attorney rendered ineffective assistance of counsel by failing to move for dismissal of the indictment based on unreasonable delay in sentencing. </w:t>
      </w:r>
      <w:bookmarkStart w:id="102" w:name="Bookmark_I5P979YP2SF89J0040000400"/>
      <w:bookmarkEnd w:id="102"/>
      <w:r>
        <w:rPr>
          <w:rFonts w:ascii="arial" w:eastAsia="arial" w:hAnsi="arial" w:cs="arial"/>
          <w:b w:val="0"/>
          <w:i w:val="0"/>
          <w:strike w:val="0"/>
          <w:noProof w:val="0"/>
          <w:color w:val="000000"/>
          <w:position w:val="0"/>
          <w:sz w:val="20"/>
          <w:u w:val="none"/>
          <w:vertAlign w:val="baseline"/>
        </w:rPr>
        <w:t>(Docket No. 1, at 8.) Ineffective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assistance of counsel claims are properly made for the first time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because they raise an issue of constitutional magnitude and generally cannot be raised on direct appeal. </w:t>
      </w:r>
      <w:bookmarkStart w:id="103" w:name="Bookmark_I5P979YP2SF89J0030000400"/>
      <w:bookmarkEnd w:id="103"/>
      <w:hyperlink r:id="rId33" w:history="1">
        <w:r>
          <w:rPr>
            <w:rFonts w:ascii="arial" w:eastAsia="arial" w:hAnsi="arial" w:cs="arial"/>
            <w:b w:val="0"/>
            <w:i/>
            <w:strike w:val="0"/>
            <w:noProof w:val="0"/>
            <w:color w:val="0077CC"/>
            <w:position w:val="0"/>
            <w:sz w:val="20"/>
            <w:u w:val="single"/>
            <w:vertAlign w:val="baseline"/>
          </w:rPr>
          <w:t>United States v. Bass</w:t>
        </w:r>
      </w:hyperlink>
      <w:hyperlink r:id="rId33" w:history="1">
        <w:r>
          <w:rPr>
            <w:rFonts w:ascii="arial" w:eastAsia="arial" w:hAnsi="arial" w:cs="arial"/>
            <w:b w:val="0"/>
            <w:i/>
            <w:strike w:val="0"/>
            <w:noProof w:val="0"/>
            <w:color w:val="0077CC"/>
            <w:position w:val="0"/>
            <w:sz w:val="20"/>
            <w:u w:val="single"/>
            <w:vertAlign w:val="baseline"/>
          </w:rPr>
          <w:t>, 310 F.3d 321, 325 (5th Cir. 2002)</w:t>
        </w:r>
      </w:hyperlink>
      <w:r>
        <w:rPr>
          <w:rFonts w:ascii="arial" w:eastAsia="arial" w:hAnsi="arial" w:cs="arial"/>
          <w:b w:val="0"/>
          <w:i w:val="0"/>
          <w:strike w:val="0"/>
          <w:noProof w:val="0"/>
          <w:color w:val="000000"/>
          <w:position w:val="0"/>
          <w:sz w:val="20"/>
          <w:u w:val="none"/>
          <w:vertAlign w:val="baseline"/>
        </w:rPr>
        <w:t xml:space="preserve">; </w:t>
      </w:r>
      <w:bookmarkStart w:id="104" w:name="Bookmark_I5P979YP2SF89J0050000400"/>
      <w:bookmarkEnd w:id="104"/>
      <w:hyperlink r:id="rId34" w:history="1">
        <w:r>
          <w:rPr>
            <w:rFonts w:ascii="arial" w:eastAsia="arial" w:hAnsi="arial" w:cs="arial"/>
            <w:b w:val="0"/>
            <w:i/>
            <w:strike w:val="0"/>
            <w:noProof w:val="0"/>
            <w:color w:val="0077CC"/>
            <w:position w:val="0"/>
            <w:sz w:val="20"/>
            <w:u w:val="single"/>
            <w:vertAlign w:val="baseline"/>
          </w:rPr>
          <w:t>United States v. Pierce</w:t>
        </w:r>
      </w:hyperlink>
      <w:hyperlink r:id="rId34" w:history="1">
        <w:r>
          <w:rPr>
            <w:rFonts w:ascii="arial" w:eastAsia="arial" w:hAnsi="arial" w:cs="arial"/>
            <w:b w:val="0"/>
            <w:i/>
            <w:strike w:val="0"/>
            <w:noProof w:val="0"/>
            <w:color w:val="0077CC"/>
            <w:position w:val="0"/>
            <w:sz w:val="20"/>
            <w:u w:val="single"/>
            <w:vertAlign w:val="baseline"/>
          </w:rPr>
          <w:t>, 959 F.2d 1297, 1301 (5th Cir. 1992)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General Standard</w:t>
      </w:r>
    </w:p>
    <w:p>
      <w:pPr>
        <w:keepNext w:val="0"/>
        <w:spacing w:before="240" w:after="0" w:line="260" w:lineRule="atLeast"/>
        <w:ind w:left="0" w:right="0" w:firstLine="0"/>
        <w:jc w:val="both"/>
      </w:pPr>
      <w:bookmarkStart w:id="105" w:name="Bookmark_para_39"/>
      <w:bookmarkEnd w:id="105"/>
      <w:bookmarkStart w:id="106" w:name="Bookmark_I4JBTY5HBHT000W0MK7000HP"/>
      <w:bookmarkEnd w:id="106"/>
      <w:bookmarkStart w:id="107" w:name="Bookmark_I5P979YP2HM6850030000400"/>
      <w:bookmarkEnd w:id="107"/>
      <w:bookmarkStart w:id="108" w:name="Bookmark_I4C486C157000008DPW003XK"/>
      <w:bookmarkEnd w:id="108"/>
      <w:bookmarkStart w:id="109" w:name="Bookmark_I5P979YP2HM6850050000400"/>
      <w:bookmarkEnd w:id="109"/>
      <w:r>
        <w:rPr>
          <w:rFonts w:ascii="arial" w:eastAsia="arial" w:hAnsi="arial" w:cs="arial"/>
          <w:b w:val="0"/>
          <w:i w:val="0"/>
          <w:strike w:val="0"/>
          <w:noProof w:val="0"/>
          <w:color w:val="000000"/>
          <w:position w:val="0"/>
          <w:sz w:val="20"/>
          <w:u w:val="none"/>
          <w:vertAlign w:val="baseline"/>
        </w:rPr>
        <w:t xml:space="preserve">An ineffective assistance of counsel allegation presented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properly analyzed under the two-prong analysis set forth in </w:t>
      </w:r>
      <w:bookmarkStart w:id="110" w:name="Bookmark_I5P979YP2HM6850020000400"/>
      <w:bookmarkEnd w:id="110"/>
      <w:hyperlink r:id="rId35" w:history="1">
        <w:r>
          <w:rPr>
            <w:rFonts w:ascii="arial" w:eastAsia="arial" w:hAnsi="arial" w:cs="arial"/>
            <w:b w:val="0"/>
            <w:i/>
            <w:strike w:val="0"/>
            <w:noProof w:val="0"/>
            <w:color w:val="0077CC"/>
            <w:position w:val="0"/>
            <w:sz w:val="20"/>
            <w:u w:val="single"/>
            <w:vertAlign w:val="baseline"/>
          </w:rPr>
          <w:t>Strickland v. Washington</w:t>
        </w:r>
      </w:hyperlink>
      <w:hyperlink r:id="rId35" w:history="1">
        <w:r>
          <w:rPr>
            <w:rFonts w:ascii="arial" w:eastAsia="arial" w:hAnsi="arial" w:cs="arial"/>
            <w:b w:val="0"/>
            <w:i/>
            <w:strike w:val="0"/>
            <w:noProof w:val="0"/>
            <w:color w:val="0077CC"/>
            <w:position w:val="0"/>
            <w:sz w:val="20"/>
            <w:u w:val="single"/>
            <w:vertAlign w:val="baseline"/>
          </w:rPr>
          <w:t>, 466 U.S. 668, 689,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11" w:name="Bookmark_I5P979YP2HM6850040000400"/>
      <w:bookmarkEnd w:id="111"/>
      <w:hyperlink r:id="rId36" w:history="1">
        <w:r>
          <w:rPr>
            <w:rFonts w:ascii="arial" w:eastAsia="arial" w:hAnsi="arial" w:cs="arial"/>
            <w:b w:val="0"/>
            <w:i/>
            <w:strike w:val="0"/>
            <w:noProof w:val="0"/>
            <w:color w:val="0077CC"/>
            <w:position w:val="0"/>
            <w:sz w:val="20"/>
            <w:u w:val="single"/>
            <w:vertAlign w:val="baseline"/>
          </w:rPr>
          <w:t>United States v. Willis</w:t>
        </w:r>
      </w:hyperlink>
      <w:hyperlink r:id="rId36" w:history="1">
        <w:r>
          <w:rPr>
            <w:rFonts w:ascii="arial" w:eastAsia="arial" w:hAnsi="arial" w:cs="arial"/>
            <w:b w:val="0"/>
            <w:i/>
            <w:strike w:val="0"/>
            <w:noProof w:val="0"/>
            <w:color w:val="0077CC"/>
            <w:position w:val="0"/>
            <w:sz w:val="20"/>
            <w:u w:val="single"/>
            <w:vertAlign w:val="baseline"/>
          </w:rPr>
          <w:t>, 273 F.3d 592, 598 (5th Cir. 2001)</w:t>
        </w:r>
      </w:hyperlink>
      <w:r>
        <w:rPr>
          <w:rFonts w:ascii="arial" w:eastAsia="arial" w:hAnsi="arial" w:cs="arial"/>
          <w:b w:val="0"/>
          <w:i w:val="0"/>
          <w:strike w:val="0"/>
          <w:noProof w:val="0"/>
          <w:color w:val="000000"/>
          <w:position w:val="0"/>
          <w:sz w:val="20"/>
          <w:u w:val="none"/>
          <w:vertAlign w:val="baseline"/>
        </w:rPr>
        <w:t xml:space="preserve">. </w:t>
      </w:r>
      <w:bookmarkStart w:id="112" w:name="Bookmark_I5P979YP28T4670020000400"/>
      <w:bookmarkEnd w:id="112"/>
      <w:r>
        <w:rPr>
          <w:rFonts w:ascii="arial" w:eastAsia="arial" w:hAnsi="arial" w:cs="arial"/>
          <w:b w:val="0"/>
          <w:i w:val="0"/>
          <w:strike w:val="0"/>
          <w:noProof w:val="0"/>
          <w:color w:val="000000"/>
          <w:position w:val="0"/>
          <w:sz w:val="20"/>
          <w:u w:val="none"/>
          <w:vertAlign w:val="baseline"/>
        </w:rPr>
        <w:t xml:space="preserve">To prevail on a claim of ineffective assistance of counsel, a movant must demonstrate that his or her counsel's performance was both deficient and prejudicial. </w:t>
      </w:r>
      <w:bookmarkStart w:id="113" w:name="Bookmark_I5P979YP28T4670020000400_2"/>
      <w:bookmarkEnd w:id="11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means that a movant must show that counsel's performance was outside the broad range of what is considered reasonable assistance and that this deficient performance led to an unfair and unreliable conviction and sentence. </w:t>
      </w:r>
      <w:bookmarkStart w:id="114" w:name="Bookmark_I5P979YP28T4670010000400"/>
      <w:bookmarkEnd w:id="114"/>
      <w:hyperlink r:id="rId37" w:history="1">
        <w:r>
          <w:rPr>
            <w:rFonts w:ascii="arial" w:eastAsia="arial" w:hAnsi="arial" w:cs="arial"/>
            <w:b w:val="0"/>
            <w:i/>
            <w:strike w:val="0"/>
            <w:noProof w:val="0"/>
            <w:color w:val="0077CC"/>
            <w:position w:val="0"/>
            <w:sz w:val="20"/>
            <w:u w:val="single"/>
            <w:vertAlign w:val="baseline"/>
          </w:rPr>
          <w:t>United States v. Dovalina</w:t>
        </w:r>
      </w:hyperlink>
      <w:hyperlink r:id="rId37" w:history="1">
        <w:r>
          <w:rPr>
            <w:rFonts w:ascii="arial" w:eastAsia="arial" w:hAnsi="arial" w:cs="arial"/>
            <w:b w:val="0"/>
            <w:i/>
            <w:strike w:val="0"/>
            <w:noProof w:val="0"/>
            <w:color w:val="0077CC"/>
            <w:position w:val="0"/>
            <w:sz w:val="20"/>
            <w:u w:val="single"/>
            <w:vertAlign w:val="baseline"/>
          </w:rPr>
          <w:t>, 262 F.3d 472, 474-75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40"/>
      <w:bookmarkEnd w:id="115"/>
      <w:bookmarkStart w:id="116" w:name="Bookmark_I5P979YP28T4670040000400"/>
      <w:bookmarkEnd w:id="116"/>
      <w:bookmarkStart w:id="117" w:name="Bookmark_I5P979YP28T4680010000400"/>
      <w:bookmarkEnd w:id="117"/>
      <w:r>
        <w:rPr>
          <w:rFonts w:ascii="arial" w:eastAsia="arial" w:hAnsi="arial" w:cs="arial"/>
          <w:b w:val="0"/>
          <w:i w:val="0"/>
          <w:strike w:val="0"/>
          <w:noProof w:val="0"/>
          <w:color w:val="000000"/>
          <w:position w:val="0"/>
          <w:sz w:val="20"/>
          <w:u w:val="none"/>
          <w:vertAlign w:val="baseline"/>
        </w:rPr>
        <w:t xml:space="preserve">In reviewing ineffectiveness claims, "judicial scrutiny of counsel's performance must be highly deferential," and every effort must be made to eliminate "the distorting effects of hindsight." </w:t>
      </w:r>
      <w:bookmarkStart w:id="118" w:name="Bookmark_I5P979YP28T4670030000400"/>
      <w:bookmarkEnd w:id="118"/>
      <w:hyperlink r:id="rId35" w:history="1">
        <w:r>
          <w:rPr>
            <w:rFonts w:ascii="arial" w:eastAsia="arial" w:hAnsi="arial" w:cs="arial"/>
            <w:b w:val="0"/>
            <w:i/>
            <w:strike w:val="0"/>
            <w:noProof w:val="0"/>
            <w:color w:val="0077CC"/>
            <w:position w:val="0"/>
            <w:sz w:val="20"/>
            <w:u w:val="single"/>
            <w:vertAlign w:val="baseline"/>
          </w:rPr>
          <w:t>Strickland</w:t>
        </w:r>
      </w:hyperlink>
      <w:hyperlink r:id="rId35"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An ineffective assistance claim focuses on "counsel's challenged conduct on the facts of the particular case, viewed as of the time of counsel's conduct[,]" because "[i]t is all too tempting for a defendant to second-guess counsel's assistance after conviction or adverse sentence."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119" w:name="Bookmark_I5P979YP28T4670050000400"/>
      <w:bookmarkEnd w:id="119"/>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689-90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41"/>
      <w:bookmarkEnd w:id="120"/>
      <w:bookmarkStart w:id="121" w:name="Bookmark_I5P979YP28T4680030000400"/>
      <w:bookmarkEnd w:id="121"/>
      <w:bookmarkStart w:id="122" w:name="Bookmark_I5P979YP28T4680050000400"/>
      <w:bookmarkEnd w:id="122"/>
      <w:r>
        <w:rPr>
          <w:rFonts w:ascii="arial" w:eastAsia="arial" w:hAnsi="arial" w:cs="arial"/>
          <w:b w:val="0"/>
          <w:i w:val="0"/>
          <w:strike w:val="0"/>
          <w:noProof w:val="0"/>
          <w:color w:val="000000"/>
          <w:position w:val="0"/>
          <w:sz w:val="20"/>
          <w:u w:val="none"/>
          <w:vertAlign w:val="baseline"/>
        </w:rPr>
        <w:t xml:space="preserve">With regard to the prejudice requirement, a movant must show that "there is a reasonable probability that, but for counsel's unprofessional errors, the result of the proceeding would have been different." </w:t>
      </w:r>
      <w:bookmarkStart w:id="123" w:name="Bookmark_I5P979YP28T4680020000400"/>
      <w:bookmarkEnd w:id="123"/>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124" w:name="Bookmark_I5P979YP2D6NM20020000400"/>
      <w:bookmarkEnd w:id="124"/>
      <w:r>
        <w:rPr>
          <w:rFonts w:ascii="arial" w:eastAsia="arial" w:hAnsi="arial" w:cs="arial"/>
          <w:b w:val="0"/>
          <w:i w:val="0"/>
          <w:strike w:val="0"/>
          <w:noProof w:val="0"/>
          <w:color w:val="000000"/>
          <w:position w:val="0"/>
          <w:sz w:val="20"/>
          <w:u w:val="none"/>
          <w:vertAlign w:val="baseline"/>
        </w:rPr>
        <w:t xml:space="preserve">If the movant fails to prove one prong, it is not necessary to analyze the other. </w:t>
      </w:r>
      <w:bookmarkStart w:id="125" w:name="Bookmark_I5P979YP28T4680040000400"/>
      <w:bookmarkEnd w:id="125"/>
      <w:hyperlink r:id="rId38" w:history="1">
        <w:r>
          <w:rPr>
            <w:rFonts w:ascii="arial" w:eastAsia="arial" w:hAnsi="arial" w:cs="arial"/>
            <w:b w:val="0"/>
            <w:i/>
            <w:strike w:val="0"/>
            <w:noProof w:val="0"/>
            <w:color w:val="0077CC"/>
            <w:position w:val="0"/>
            <w:sz w:val="20"/>
            <w:u w:val="single"/>
            <w:vertAlign w:val="baseline"/>
          </w:rPr>
          <w:t>Armstead v. Scott</w:t>
        </w:r>
      </w:hyperlink>
      <w:hyperlink r:id="rId38" w:history="1">
        <w:r>
          <w:rPr>
            <w:rFonts w:ascii="arial" w:eastAsia="arial" w:hAnsi="arial" w:cs="arial"/>
            <w:b w:val="0"/>
            <w:i/>
            <w:strike w:val="0"/>
            <w:noProof w:val="0"/>
            <w:color w:val="0077CC"/>
            <w:position w:val="0"/>
            <w:sz w:val="20"/>
            <w:u w:val="single"/>
            <w:vertAlign w:val="baseline"/>
          </w:rPr>
          <w:t>, 37 F.3d 202, 210 (5th Cir. 1994)</w:t>
        </w:r>
      </w:hyperlink>
      <w:r>
        <w:rPr>
          <w:rFonts w:ascii="arial" w:eastAsia="arial" w:hAnsi="arial" w:cs="arial"/>
          <w:b w:val="0"/>
          <w:i w:val="0"/>
          <w:strike w:val="0"/>
          <w:noProof w:val="0"/>
          <w:color w:val="000000"/>
          <w:position w:val="0"/>
          <w:sz w:val="20"/>
          <w:u w:val="none"/>
          <w:vertAlign w:val="baseline"/>
        </w:rPr>
        <w:t xml:space="preserve"> ("A court need not address both components of the inquiry if the defendant makes an insufficient showing on one."). </w:t>
      </w:r>
      <w:bookmarkStart w:id="126" w:name="Bookmark_I5P979YP2D6NM20020000400_2"/>
      <w:bookmarkEnd w:id="126"/>
      <w:r>
        <w:rPr>
          <w:rFonts w:ascii="arial" w:eastAsia="arial" w:hAnsi="arial" w:cs="arial"/>
          <w:b w:val="0"/>
          <w:i w:val="0"/>
          <w:strike w:val="0"/>
          <w:noProof w:val="0"/>
          <w:color w:val="000000"/>
          <w:position w:val="0"/>
          <w:sz w:val="20"/>
          <w:u w:val="none"/>
          <w:vertAlign w:val="baseline"/>
        </w:rPr>
        <w:t xml:space="preserve">"Failure to prove either deficient performance or actual prejudice is fatal to an ineffective assistance claim." </w:t>
      </w:r>
      <w:bookmarkStart w:id="127" w:name="Bookmark_I5P979YP2D6NM20010000400"/>
      <w:bookmarkEnd w:id="127"/>
      <w:hyperlink r:id="rId39" w:history="1">
        <w:r>
          <w:rPr>
            <w:rFonts w:ascii="arial" w:eastAsia="arial" w:hAnsi="arial" w:cs="arial"/>
            <w:b w:val="0"/>
            <w:i/>
            <w:strike w:val="0"/>
            <w:noProof w:val="0"/>
            <w:color w:val="0077CC"/>
            <w:position w:val="0"/>
            <w:sz w:val="20"/>
            <w:u w:val="single"/>
            <w:vertAlign w:val="baseline"/>
          </w:rPr>
          <w:t>Carter v. Johnson</w:t>
        </w:r>
      </w:hyperlink>
      <w:hyperlink r:id="rId39" w:history="1">
        <w:r>
          <w:rPr>
            <w:rFonts w:ascii="arial" w:eastAsia="arial" w:hAnsi="arial" w:cs="arial"/>
            <w:b w:val="0"/>
            <w:i/>
            <w:strike w:val="0"/>
            <w:noProof w:val="0"/>
            <w:color w:val="0077CC"/>
            <w:position w:val="0"/>
            <w:sz w:val="20"/>
            <w:u w:val="single"/>
            <w:vertAlign w:val="baseline"/>
          </w:rPr>
          <w:t>, 131 F.3d 452, 463 (5th Cir. 1997)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Failure to Move for Dismissal</w:t>
      </w:r>
    </w:p>
    <w:p>
      <w:pPr>
        <w:keepNext w:val="0"/>
        <w:spacing w:before="200" w:after="0" w:line="260" w:lineRule="atLeast"/>
        <w:ind w:left="0" w:right="0" w:firstLine="0"/>
        <w:jc w:val="both"/>
      </w:pPr>
      <w:bookmarkStart w:id="128" w:name="Bookmark_para_42"/>
      <w:bookmarkEnd w:id="128"/>
      <w:bookmarkStart w:id="129" w:name="Bookmark_I4JBTY5J6SC000W0MK7000HX"/>
      <w:bookmarkEnd w:id="129"/>
      <w:bookmarkStart w:id="130" w:name="Bookmark_I5P979YP2D6NM20040000400"/>
      <w:bookmarkEnd w:id="130"/>
      <w:r>
        <w:rPr>
          <w:rFonts w:ascii="arial" w:eastAsia="arial" w:hAnsi="arial" w:cs="arial"/>
          <w:b w:val="0"/>
          <w:i w:val="0"/>
          <w:strike w:val="0"/>
          <w:noProof w:val="0"/>
          <w:color w:val="000000"/>
          <w:position w:val="0"/>
          <w:sz w:val="20"/>
          <w:u w:val="none"/>
          <w:vertAlign w:val="baseline"/>
        </w:rPr>
        <w:t>Movant faults his attorney for not moving to dismiss the indictment based on the delay in sentencing.</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However, had counsel moved to dismiss the indictment on speedy trial grounds, it would have failed. </w:t>
      </w:r>
      <w:bookmarkStart w:id="132" w:name="Bookmark_I5P979YP2SF89M0010000400"/>
      <w:bookmarkEnd w:id="132"/>
      <w:r>
        <w:rPr>
          <w:rFonts w:ascii="arial" w:eastAsia="arial" w:hAnsi="arial" w:cs="arial"/>
          <w:b w:val="0"/>
          <w:i w:val="0"/>
          <w:strike w:val="0"/>
          <w:noProof w:val="0"/>
          <w:color w:val="000000"/>
          <w:position w:val="0"/>
          <w:sz w:val="20"/>
          <w:u w:val="none"/>
          <w:vertAlign w:val="baseline"/>
        </w:rPr>
        <w:t xml:space="preserve">As discussed above,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Part II.B.2, evaluating Movant's speedy trial claim in light of the </w:t>
      </w:r>
      <w:bookmarkStart w:id="133" w:name="Bookmark_I5P979YP2D6NM20030000400"/>
      <w:bookmarkEnd w:id="133"/>
      <w:hyperlink r:id="rId30"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shows that Movant's constitutional rights were not violated as a result of the delay in his sentencing. To state the obvious, Movant's counsel was not deficient in failing to file a meritless motion. </w:t>
      </w:r>
      <w:bookmarkStart w:id="134" w:name="Bookmark_I5P979YP2SF89M0010000400_2"/>
      <w:bookmarkEnd w:id="134"/>
      <w:r>
        <w:rPr>
          <w:rFonts w:ascii="arial" w:eastAsia="arial" w:hAnsi="arial" w:cs="arial"/>
          <w:b w:val="0"/>
          <w:i/>
          <w:strike w:val="0"/>
          <w:noProof w:val="0"/>
          <w:color w:val="000000"/>
          <w:position w:val="0"/>
          <w:sz w:val="20"/>
          <w:u w:val="none"/>
          <w:vertAlign w:val="baseline"/>
        </w:rPr>
        <w:t xml:space="preserve">See </w:t>
      </w:r>
      <w:bookmarkStart w:id="135" w:name="Bookmark_I5P979YP2D6NM20050000400"/>
      <w:bookmarkEnd w:id="135"/>
      <w:hyperlink r:id="rId40" w:history="1">
        <w:r>
          <w:rPr>
            <w:rFonts w:ascii="arial" w:eastAsia="arial" w:hAnsi="arial" w:cs="arial"/>
            <w:b w:val="0"/>
            <w:i/>
            <w:strike w:val="0"/>
            <w:noProof w:val="0"/>
            <w:color w:val="0077CC"/>
            <w:position w:val="0"/>
            <w:sz w:val="20"/>
            <w:u w:val="single"/>
            <w:vertAlign w:val="baseline"/>
          </w:rPr>
          <w:t>United States v. Kimler</w:t>
        </w:r>
      </w:hyperlink>
      <w:hyperlink r:id="rId40" w:history="1">
        <w:r>
          <w:rPr>
            <w:rFonts w:ascii="arial" w:eastAsia="arial" w:hAnsi="arial" w:cs="arial"/>
            <w:b w:val="0"/>
            <w:i/>
            <w:strike w:val="0"/>
            <w:noProof w:val="0"/>
            <w:color w:val="0077CC"/>
            <w:position w:val="0"/>
            <w:sz w:val="20"/>
            <w:u w:val="single"/>
            <w:vertAlign w:val="baseline"/>
          </w:rPr>
          <w:t>, 167 F.3d 889, 893 (5th Cir. 1999)</w:t>
        </w:r>
      </w:hyperlink>
      <w:r>
        <w:rPr>
          <w:rFonts w:ascii="arial" w:eastAsia="arial" w:hAnsi="arial" w:cs="arial"/>
          <w:b w:val="0"/>
          <w:i w:val="0"/>
          <w:strike w:val="0"/>
          <w:noProof w:val="0"/>
          <w:color w:val="000000"/>
          <w:position w:val="0"/>
          <w:sz w:val="20"/>
          <w:u w:val="none"/>
          <w:vertAlign w:val="baseline"/>
        </w:rPr>
        <w:t xml:space="preserve"> ("An attorney's failure to raise a meritless argument . . . cannot form the basis of a successful ineffective assistance of counsel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136" w:name="Bookmark_para_43"/>
      <w:bookmarkEnd w:id="136"/>
      <w:r>
        <w:rPr>
          <w:rFonts w:ascii="arial" w:eastAsia="arial" w:hAnsi="arial" w:cs="arial"/>
          <w:b w:val="0"/>
          <w:i w:val="0"/>
          <w:strike w:val="0"/>
          <w:noProof w:val="0"/>
          <w:color w:val="000000"/>
          <w:position w:val="0"/>
          <w:sz w:val="20"/>
          <w:u w:val="none"/>
          <w:vertAlign w:val="baseline"/>
        </w:rPr>
        <w:t>In addition, counsel cannot be faulted for failing to object to the various sentencing continuances sought by Movant's co-defendants. There is no indication that Movant ever requested counsel to object to any of the continuances or to request that his sentencing hearing be expedited. The record suggests that delaying the sentencing hearing was a sound strategy and that the sentencing delays worked to Movant's benefit—particularly given that he was facing a Guidelines sentence of life imprisonment (as reflected by the PSR).</w:t>
      </w:r>
    </w:p>
    <w:p>
      <w:pPr>
        <w:keepNext w:val="0"/>
        <w:spacing w:before="200" w:after="0" w:line="260" w:lineRule="atLeast"/>
        <w:ind w:left="0" w:right="0" w:firstLine="0"/>
        <w:jc w:val="both"/>
      </w:pPr>
      <w:bookmarkStart w:id="137" w:name="Bookmark_para_44"/>
      <w:bookmarkEnd w:id="137"/>
      <w:r>
        <w:rPr>
          <w:rFonts w:ascii="arial" w:eastAsia="arial" w:hAnsi="arial" w:cs="arial"/>
          <w:b w:val="0"/>
          <w:i w:val="0"/>
          <w:strike w:val="0"/>
          <w:noProof w:val="0"/>
          <w:color w:val="000000"/>
          <w:position w:val="0"/>
          <w:sz w:val="20"/>
          <w:u w:val="none"/>
          <w:vertAlign w:val="baseline"/>
        </w:rPr>
        <w:t>Because Movant has failed to show that counsel's performance was in any way deficient, this ineffective assistance of counsel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CONCLUSION</w:t>
      </w:r>
    </w:p>
    <w:p>
      <w:pPr>
        <w:keepNext w:val="0"/>
        <w:spacing w:before="240" w:after="0" w:line="260" w:lineRule="atLeast"/>
        <w:ind w:left="0" w:right="0" w:firstLine="0"/>
        <w:jc w:val="both"/>
      </w:pPr>
      <w:bookmarkStart w:id="138" w:name="Bookmark_para_45"/>
      <w:bookmarkEnd w:id="138"/>
      <w:r>
        <w:rPr>
          <w:rFonts w:ascii="arial" w:eastAsia="arial" w:hAnsi="arial" w:cs="arial"/>
          <w:b w:val="0"/>
          <w:i w:val="0"/>
          <w:strike w:val="0"/>
          <w:noProof w:val="0"/>
          <w:color w:val="000000"/>
          <w:position w:val="0"/>
          <w:sz w:val="20"/>
          <w:u w:val="none"/>
          <w:vertAlign w:val="baseline"/>
        </w:rPr>
        <w:t xml:space="preserve">For the foregoing reasons, the undersigned respectfully recommends that Respondent's Motion for Summary Judgment (Docket No. 6) be GRANTED, that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(Docket No. 1) be DENIED, and that this action be DISMISSED. For the reasons discussed below, it is further recommended that Movant be denied a certificate of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39" w:name="Bookmark_para_46"/>
      <w:bookmarkEnd w:id="139"/>
      <w:r>
        <w:rPr>
          <w:rFonts w:ascii="arial" w:eastAsia="arial" w:hAnsi="arial" w:cs="arial"/>
          <w:b w:val="0"/>
          <w:i w:val="0"/>
          <w:strike w:val="0"/>
          <w:noProof w:val="0"/>
          <w:color w:val="000000"/>
          <w:position w:val="0"/>
          <w:sz w:val="20"/>
          <w:u w:val="none"/>
          <w:vertAlign w:val="baseline"/>
        </w:rPr>
        <w:t>An appeal may not be taken to the court of appeals from a final order in a habeas corpus proceeding "unless a circuit justice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judge issues a certificate of appealability." </w:t>
      </w:r>
      <w:hyperlink r:id="rId41"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Although Movant has not yet filed a notice of appeal, the recently-amended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Rules instruct that the District Court "must issue or deny a certificate of appealability when it enters a final order adverse to the applicant." </w:t>
      </w:r>
      <w:hyperlink r:id="rId42" w:history="1">
        <w:r>
          <w:rPr>
            <w:rFonts w:ascii="arial" w:eastAsia="arial" w:hAnsi="arial" w:cs="arial"/>
            <w:b w:val="0"/>
            <w:i/>
            <w:strike w:val="0"/>
            <w:noProof w:val="0"/>
            <w:color w:val="0077CC"/>
            <w:position w:val="0"/>
            <w:sz w:val="20"/>
            <w:u w:val="single"/>
            <w:vertAlign w:val="baseline"/>
          </w:rPr>
          <w:t xml:space="preserve">Rule 11, </w:t>
        </w:r>
      </w:hyperlink>
      <w:hyperlink r:id="rId42" w:history="1">
        <w:r>
          <w:rPr>
            <w:rFonts w:ascii="arial" w:eastAsia="arial" w:hAnsi="arial" w:cs="arial"/>
            <w:b w:val="0"/>
            <w:i/>
            <w:strike w:val="0"/>
            <w:noProof w:val="0"/>
            <w:color w:val="0077CC"/>
            <w:position w:val="0"/>
            <w:sz w:val="20"/>
            <w:u w:val="single"/>
            <w:vertAlign w:val="baseline"/>
          </w:rPr>
          <w:t>Rules Governing Section 2255 Proceedings.</w:t>
        </w:r>
      </w:hyperlink>
      <w:r>
        <w:rPr>
          <w:rFonts w:ascii="arial" w:eastAsia="arial" w:hAnsi="arial" w:cs="arial"/>
          <w:b w:val="0"/>
          <w:i w:val="0"/>
          <w:strike w:val="0"/>
          <w:noProof w:val="0"/>
          <w:color w:val="000000"/>
          <w:position w:val="0"/>
          <w:sz w:val="20"/>
          <w:u w:val="none"/>
          <w:vertAlign w:val="baseline"/>
        </w:rPr>
        <w:t xml:space="preserve"> Because the undersigned recommends the dismissal of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 it is necessary to address whether Movant is entitled to a certificate of appealability (COA).</w:t>
      </w:r>
    </w:p>
    <w:p>
      <w:pPr>
        <w:keepNext w:val="0"/>
        <w:spacing w:before="240" w:after="0" w:line="260" w:lineRule="atLeast"/>
        <w:ind w:left="0" w:right="0" w:firstLine="0"/>
        <w:jc w:val="both"/>
      </w:pPr>
      <w:bookmarkStart w:id="140" w:name="Bookmark_para_47"/>
      <w:bookmarkEnd w:id="140"/>
      <w:bookmarkStart w:id="141" w:name="Bookmark_I4JBTY5HM63000W0MK7000HS"/>
      <w:bookmarkEnd w:id="141"/>
      <w:bookmarkStart w:id="142" w:name="Bookmark_I5P979YP2SF89M0030000400"/>
      <w:bookmarkEnd w:id="142"/>
      <w:bookmarkStart w:id="143" w:name="Bookmark_I4C486C18D400008DPW003XN"/>
      <w:bookmarkEnd w:id="143"/>
      <w:bookmarkStart w:id="144" w:name="Bookmark_I4C486C1B2C00008DPW003XP"/>
      <w:bookmarkEnd w:id="144"/>
      <w:bookmarkStart w:id="145" w:name="Bookmark_I5P979YP2SF89M0050000400"/>
      <w:bookmarkEnd w:id="145"/>
      <w:r>
        <w:rPr>
          <w:rFonts w:ascii="arial" w:eastAsia="arial" w:hAnsi="arial" w:cs="arial"/>
          <w:b w:val="0"/>
          <w:i w:val="0"/>
          <w:strike w:val="0"/>
          <w:noProof w:val="0"/>
          <w:color w:val="000000"/>
          <w:position w:val="0"/>
          <w:sz w:val="20"/>
          <w:u w:val="none"/>
          <w:vertAlign w:val="baseline"/>
        </w:rPr>
        <w:t xml:space="preserve">A COA "may issue . . . only if the applicant has made a substantial showing of the denial of a constitutional right." </w:t>
      </w:r>
      <w:hyperlink r:id="rId41"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146" w:name="Bookmark_I5P979YP2SF89N0040000400"/>
      <w:bookmarkEnd w:id="146"/>
      <w:r>
        <w:rPr>
          <w:rFonts w:ascii="arial" w:eastAsia="arial" w:hAnsi="arial" w:cs="arial"/>
          <w:b w:val="0"/>
          <w:i w:val="0"/>
          <w:strike w:val="0"/>
          <w:noProof w:val="0"/>
          <w:color w:val="000000"/>
          <w:position w:val="0"/>
          <w:sz w:val="20"/>
          <w:u w:val="none"/>
          <w:vertAlign w:val="baseline"/>
        </w:rPr>
        <w:t xml:space="preserve">"The COA determination under </w:t>
      </w:r>
      <w:hyperlink r:id="rId41" w:history="1">
        <w:r>
          <w:rPr>
            <w:rFonts w:ascii="arial" w:eastAsia="arial" w:hAnsi="arial" w:cs="arial"/>
            <w:b w:val="0"/>
            <w:i/>
            <w:strike w:val="0"/>
            <w:noProof w:val="0"/>
            <w:color w:val="0077CC"/>
            <w:position w:val="0"/>
            <w:sz w:val="20"/>
            <w:u w:val="single"/>
            <w:vertAlign w:val="baseline"/>
          </w:rPr>
          <w:t>§ 2253(c)</w:t>
        </w:r>
      </w:hyperlink>
      <w:r>
        <w:rPr>
          <w:rFonts w:ascii="arial" w:eastAsia="arial" w:hAnsi="arial" w:cs="arial"/>
          <w:b w:val="0"/>
          <w:i w:val="0"/>
          <w:strike w:val="0"/>
          <w:noProof w:val="0"/>
          <w:color w:val="000000"/>
          <w:position w:val="0"/>
          <w:sz w:val="20"/>
          <w:u w:val="none"/>
          <w:vertAlign w:val="baseline"/>
        </w:rPr>
        <w:t xml:space="preserve"> requires an overview of the claims in the habeas petition and a general assessment of their merits." </w:t>
      </w:r>
      <w:bookmarkStart w:id="147" w:name="Bookmark_I5P979YP2SF89M0020000400"/>
      <w:bookmarkEnd w:id="147"/>
      <w:hyperlink r:id="rId43" w:history="1">
        <w:r>
          <w:rPr>
            <w:rFonts w:ascii="arial" w:eastAsia="arial" w:hAnsi="arial" w:cs="arial"/>
            <w:b w:val="0"/>
            <w:i/>
            <w:strike w:val="0"/>
            <w:noProof w:val="0"/>
            <w:color w:val="0077CC"/>
            <w:position w:val="0"/>
            <w:sz w:val="20"/>
            <w:u w:val="single"/>
            <w:vertAlign w:val="baseline"/>
          </w:rPr>
          <w:t>Miller-El v. Cockrell</w:t>
        </w:r>
      </w:hyperlink>
      <w:hyperlink r:id="rId43"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w:t>
      </w:r>
      <w:bookmarkStart w:id="148" w:name="Bookmark_I5P979YP2HM6880030000400"/>
      <w:bookmarkEnd w:id="148"/>
      <w:r>
        <w:rPr>
          <w:rFonts w:ascii="arial" w:eastAsia="arial" w:hAnsi="arial" w:cs="arial"/>
          <w:b w:val="0"/>
          <w:i w:val="0"/>
          <w:strike w:val="0"/>
          <w:noProof w:val="0"/>
          <w:color w:val="000000"/>
          <w:position w:val="0"/>
          <w:sz w:val="20"/>
          <w:u w:val="none"/>
          <w:vertAlign w:val="baseline"/>
        </w:rPr>
        <w:t xml:space="preserve">To warrant a COA as to claims denied on their merits, "[t]he petitioner must demonstrate that reasonable jurists would find the district court's assessment of the constitutional claims debatable or wrong." </w:t>
      </w:r>
      <w:bookmarkStart w:id="149" w:name="Bookmark_I5P979YP2SF89M0040000400"/>
      <w:bookmarkEnd w:id="149"/>
      <w:hyperlink r:id="rId44" w:history="1">
        <w:r>
          <w:rPr>
            <w:rFonts w:ascii="arial" w:eastAsia="arial" w:hAnsi="arial" w:cs="arial"/>
            <w:b w:val="0"/>
            <w:i/>
            <w:strike w:val="0"/>
            <w:noProof w:val="0"/>
            <w:color w:val="0077CC"/>
            <w:position w:val="0"/>
            <w:sz w:val="20"/>
            <w:u w:val="single"/>
            <w:vertAlign w:val="baseline"/>
          </w:rPr>
          <w:t>Slack v. McDaniel</w:t>
        </w:r>
      </w:hyperlink>
      <w:hyperlink r:id="rId44"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 xml:space="preserve">ee also </w:t>
      </w:r>
      <w:bookmarkStart w:id="150" w:name="Bookmark_I5P979YP2SF89N0010000400"/>
      <w:bookmarkEnd w:id="150"/>
      <w:hyperlink r:id="rId45" w:history="1">
        <w:r>
          <w:rPr>
            <w:rFonts w:ascii="arial" w:eastAsia="arial" w:hAnsi="arial" w:cs="arial"/>
            <w:b w:val="0"/>
            <w:i/>
            <w:strike w:val="0"/>
            <w:noProof w:val="0"/>
            <w:color w:val="0077CC"/>
            <w:position w:val="0"/>
            <w:sz w:val="20"/>
            <w:u w:val="single"/>
            <w:vertAlign w:val="baseline"/>
          </w:rPr>
          <w:t>United States v. Jones</w:t>
        </w:r>
      </w:hyperlink>
      <w:hyperlink r:id="rId45" w:history="1">
        <w:r>
          <w:rPr>
            <w:rFonts w:ascii="arial" w:eastAsia="arial" w:hAnsi="arial" w:cs="arial"/>
            <w:b w:val="0"/>
            <w:i/>
            <w:strike w:val="0"/>
            <w:noProof w:val="0"/>
            <w:color w:val="0077CC"/>
            <w:position w:val="0"/>
            <w:sz w:val="20"/>
            <w:u w:val="single"/>
            <w:vertAlign w:val="baseline"/>
          </w:rPr>
          <w:t>, 287 F.3d 325, 329 (5th Cir. 2002)</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Slack</w:t>
      </w:r>
      <w:r>
        <w:rPr>
          <w:rFonts w:ascii="arial" w:eastAsia="arial" w:hAnsi="arial" w:cs="arial"/>
          <w:b w:val="0"/>
          <w:i w:val="0"/>
          <w:strike w:val="0"/>
          <w:noProof w:val="0"/>
          <w:color w:val="000000"/>
          <w:position w:val="0"/>
          <w:sz w:val="20"/>
          <w:u w:val="none"/>
          <w:vertAlign w:val="baseline"/>
        </w:rPr>
        <w:t xml:space="preserve"> standard to a COA determination in the context of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proceedings). </w:t>
      </w:r>
      <w:bookmarkStart w:id="151" w:name="Bookmark_I5P979YP2HM6880030000400_2"/>
      <w:bookmarkEnd w:id="151"/>
      <w:bookmarkStart w:id="152" w:name="Bookmark_I5P979YP2SF89N0040000400_2"/>
      <w:bookmarkEnd w:id="152"/>
      <w:r>
        <w:rPr>
          <w:rFonts w:ascii="arial" w:eastAsia="arial" w:hAnsi="arial" w:cs="arial"/>
          <w:b w:val="0"/>
          <w:i w:val="0"/>
          <w:strike w:val="0"/>
          <w:noProof w:val="0"/>
          <w:color w:val="000000"/>
          <w:position w:val="0"/>
          <w:sz w:val="20"/>
          <w:u w:val="none"/>
          <w:vertAlign w:val="baseline"/>
        </w:rPr>
        <w:t xml:space="preserve">An applicant may also satisfy this standard by showing that "jurists could conclude the issues presented are adequate to deserve encouragement to proceed further." </w:t>
      </w:r>
      <w:bookmarkStart w:id="153" w:name="Bookmark_I5P979YP2SF89N0030000400"/>
      <w:bookmarkEnd w:id="153"/>
      <w:hyperlink r:id="rId43" w:history="1">
        <w:r>
          <w:rPr>
            <w:rFonts w:ascii="arial" w:eastAsia="arial" w:hAnsi="arial" w:cs="arial"/>
            <w:b w:val="0"/>
            <w:i/>
            <w:strike w:val="0"/>
            <w:noProof w:val="0"/>
            <w:color w:val="0077CC"/>
            <w:position w:val="0"/>
            <w:sz w:val="20"/>
            <w:u w:val="single"/>
            <w:vertAlign w:val="baseline"/>
          </w:rPr>
          <w:t>Miller-El</w:t>
        </w:r>
      </w:hyperlink>
      <w:hyperlink r:id="rId43" w:history="1">
        <w:r>
          <w:rPr>
            <w:rFonts w:ascii="arial" w:eastAsia="arial" w:hAnsi="arial" w:cs="arial"/>
            <w:b w:val="0"/>
            <w:i/>
            <w:strike w:val="0"/>
            <w:noProof w:val="0"/>
            <w:color w:val="0077CC"/>
            <w:position w:val="0"/>
            <w:sz w:val="20"/>
            <w:u w:val="single"/>
            <w:vertAlign w:val="baseline"/>
          </w:rPr>
          <w:t>, 537 U.S. at 327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4" w:name="Bookmark_I5P979YP2SF89N0050000400"/>
      <w:bookmarkEnd w:id="154"/>
      <w:hyperlink r:id="rId45" w:history="1">
        <w:r>
          <w:rPr>
            <w:rFonts w:ascii="arial" w:eastAsia="arial" w:hAnsi="arial" w:cs="arial"/>
            <w:b w:val="0"/>
            <w:i/>
            <w:strike w:val="0"/>
            <w:noProof w:val="0"/>
            <w:color w:val="0077CC"/>
            <w:position w:val="0"/>
            <w:sz w:val="20"/>
            <w:u w:val="single"/>
            <w:vertAlign w:val="baseline"/>
          </w:rPr>
          <w:t>Jones</w:t>
        </w:r>
      </w:hyperlink>
      <w:hyperlink r:id="rId45" w:history="1">
        <w:r>
          <w:rPr>
            <w:rFonts w:ascii="arial" w:eastAsia="arial" w:hAnsi="arial" w:cs="arial"/>
            <w:b w:val="0"/>
            <w:i/>
            <w:strike w:val="0"/>
            <w:noProof w:val="0"/>
            <w:color w:val="0077CC"/>
            <w:position w:val="0"/>
            <w:sz w:val="20"/>
            <w:u w:val="single"/>
            <w:vertAlign w:val="baseline"/>
          </w:rPr>
          <w:t>, 287 F.3d at 329</w:t>
        </w:r>
      </w:hyperlink>
      <w:r>
        <w:rPr>
          <w:rFonts w:ascii="arial" w:eastAsia="arial" w:hAnsi="arial" w:cs="arial"/>
          <w:b w:val="0"/>
          <w:i w:val="0"/>
          <w:strike w:val="0"/>
          <w:noProof w:val="0"/>
          <w:color w:val="000000"/>
          <w:position w:val="0"/>
          <w:sz w:val="20"/>
          <w:u w:val="none"/>
          <w:vertAlign w:val="baseline"/>
        </w:rPr>
        <w:t>. As to claims that a district court rejects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solely on procedural grounds, the prisoner must show both that "jurists of reason would find it debatable whether the petition states a valid claim of the denial of a constitutional right and that jurists of reason would find it debatable whether the district court was correct in its procedural ruling." </w:t>
      </w:r>
      <w:bookmarkStart w:id="155" w:name="Bookmark_I5P979YP2HM6880020000400"/>
      <w:bookmarkEnd w:id="155"/>
      <w:hyperlink r:id="rId44" w:history="1">
        <w:r>
          <w:rPr>
            <w:rFonts w:ascii="arial" w:eastAsia="arial" w:hAnsi="arial" w:cs="arial"/>
            <w:b w:val="0"/>
            <w:i/>
            <w:strike w:val="0"/>
            <w:noProof w:val="0"/>
            <w:color w:val="0077CC"/>
            <w:position w:val="0"/>
            <w:sz w:val="20"/>
            <w:u w:val="single"/>
            <w:vertAlign w:val="baseline"/>
          </w:rPr>
          <w:t>Slack</w:t>
        </w:r>
      </w:hyperlink>
      <w:hyperlink r:id="rId44"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48"/>
      <w:bookmarkEnd w:id="156"/>
      <w:r>
        <w:rPr>
          <w:rFonts w:ascii="arial" w:eastAsia="arial" w:hAnsi="arial" w:cs="arial"/>
          <w:b w:val="0"/>
          <w:i w:val="0"/>
          <w:strike w:val="0"/>
          <w:noProof w:val="0"/>
          <w:color w:val="000000"/>
          <w:position w:val="0"/>
          <w:sz w:val="20"/>
          <w:u w:val="none"/>
          <w:vertAlign w:val="baseline"/>
        </w:rPr>
        <w:t xml:space="preserve">Here,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claims should be dismissed both on procedural grounds and on their merits. For the reasons explained in this report, the undersigned believes that reasonable jurists would not find debatable or wrong the conclusion that Movant's speedy trial claim is procedurally barred and lacks merit. Likewise, the undersigned believes that reasonable jurists would not find debatable or wrong the conclusion that Movant's ineffective assistance of counsel claim lacks merit, nor is this claim adequate to deserve encouragement to proceed further. Accordingly, Movant is not entitled to a COA.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TO THE PARTIES</w:t>
      </w:r>
    </w:p>
    <w:p>
      <w:pPr>
        <w:keepNext w:val="0"/>
        <w:spacing w:before="200" w:after="0" w:line="260" w:lineRule="atLeast"/>
        <w:ind w:left="0" w:right="0" w:firstLine="0"/>
        <w:jc w:val="both"/>
      </w:pPr>
      <w:bookmarkStart w:id="157" w:name="Bookmark_para_49"/>
      <w:bookmarkEnd w:id="157"/>
      <w:r>
        <w:rPr>
          <w:rFonts w:ascii="arial" w:eastAsia="arial" w:hAnsi="arial" w:cs="arial"/>
          <w:b w:val="0"/>
          <w:i w:val="0"/>
          <w:strike w:val="0"/>
          <w:noProof w:val="0"/>
          <w:color w:val="000000"/>
          <w:position w:val="0"/>
          <w:sz w:val="20"/>
          <w:u w:val="none"/>
          <w:vertAlign w:val="baseline"/>
        </w:rPr>
        <w:t xml:space="preserve">The Clerk shall send copies of this Report and Recommendation to Movant and counsel for Respondent, who have fourteen (14) days after receipt thereof to file written objections pursuant to </w:t>
      </w:r>
      <w:hyperlink r:id="rId46"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Rule 72(b) of the Federal Rules of Civil Procedure</w:t>
        </w:r>
      </w:hyperlink>
      <w:r>
        <w:rPr>
          <w:rFonts w:ascii="arial" w:eastAsia="arial" w:hAnsi="arial" w:cs="arial"/>
          <w:b w:val="0"/>
          <w:i w:val="0"/>
          <w:strike w:val="0"/>
          <w:noProof w:val="0"/>
          <w:color w:val="000000"/>
          <w:position w:val="0"/>
          <w:sz w:val="20"/>
          <w:u w:val="none"/>
          <w:vertAlign w:val="baseline"/>
        </w:rPr>
        <w:t>. Failure to file timely written objections shall bar an aggrieved party from receiving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de novo review by the District Court on an issue covered in this Report and, except upon grounds of plain error, from attacking on appeal the unobjected-to proposed factual findings and legal conclusions accepted by the District Court.</w:t>
      </w:r>
    </w:p>
    <w:p>
      <w:pPr>
        <w:keepNext w:val="0"/>
        <w:spacing w:before="200" w:after="0" w:line="260" w:lineRule="atLeast"/>
        <w:ind w:left="0" w:right="0" w:firstLine="0"/>
        <w:jc w:val="both"/>
      </w:pPr>
      <w:bookmarkStart w:id="158" w:name="Bookmark_para_50"/>
      <w:bookmarkEnd w:id="158"/>
      <w:r>
        <w:rPr>
          <w:rFonts w:ascii="arial" w:eastAsia="arial" w:hAnsi="arial" w:cs="arial"/>
          <w:b w:val="0"/>
          <w:i w:val="0"/>
          <w:strike w:val="0"/>
          <w:noProof w:val="0"/>
          <w:color w:val="000000"/>
          <w:position w:val="0"/>
          <w:sz w:val="20"/>
          <w:u w:val="none"/>
          <w:vertAlign w:val="baseline"/>
        </w:rPr>
        <w:t>DONE at McAllen, Texas on May 25, 2017.</w:t>
      </w:r>
    </w:p>
    <w:p>
      <w:pPr>
        <w:keepNext w:val="0"/>
        <w:spacing w:before="200" w:after="0" w:line="260" w:lineRule="atLeast"/>
        <w:ind w:left="0" w:right="0" w:firstLine="0"/>
        <w:jc w:val="both"/>
      </w:pPr>
      <w:bookmarkStart w:id="159" w:name="Bookmark_para_51"/>
      <w:bookmarkEnd w:id="159"/>
      <w:r>
        <w:rPr>
          <w:rFonts w:ascii="arial" w:eastAsia="arial" w:hAnsi="arial" w:cs="arial"/>
          <w:b w:val="0"/>
          <w:i w:val="0"/>
          <w:strike w:val="0"/>
          <w:noProof w:val="0"/>
          <w:color w:val="000000"/>
          <w:position w:val="0"/>
          <w:sz w:val="20"/>
          <w:u w:val="none"/>
          <w:vertAlign w:val="baseline"/>
        </w:rPr>
        <w:t>/s/ Peter E. Ormsby</w:t>
      </w:r>
    </w:p>
    <w:p>
      <w:pPr>
        <w:keepNext w:val="0"/>
        <w:spacing w:before="200" w:after="0" w:line="260" w:lineRule="atLeast"/>
        <w:ind w:left="0" w:right="0" w:firstLine="0"/>
        <w:jc w:val="both"/>
      </w:pPr>
      <w:bookmarkStart w:id="160" w:name="Bookmark_para_52"/>
      <w:bookmarkEnd w:id="160"/>
      <w:r>
        <w:rPr>
          <w:rFonts w:ascii="arial" w:eastAsia="arial" w:hAnsi="arial" w:cs="arial"/>
          <w:b w:val="0"/>
          <w:i w:val="0"/>
          <w:strike w:val="0"/>
          <w:noProof w:val="0"/>
          <w:color w:val="000000"/>
          <w:position w:val="0"/>
          <w:sz w:val="20"/>
          <w:u w:val="none"/>
          <w:vertAlign w:val="baseline"/>
        </w:rPr>
        <w:t>Peter E. Ormsby</w:t>
      </w:r>
    </w:p>
    <w:p>
      <w:pPr>
        <w:keepNext w:val="0"/>
        <w:spacing w:before="200" w:after="0" w:line="260" w:lineRule="atLeast"/>
        <w:ind w:left="0" w:right="0" w:firstLine="0"/>
        <w:jc w:val="both"/>
      </w:pPr>
      <w:bookmarkStart w:id="161" w:name="Bookmark_para_53"/>
      <w:bookmarkEnd w:id="16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Docket entry references are to the civil action, unless otherwise noted.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The facts in the next two sections are drawn principally from Movant's Presentence Investigation Report (PSR). (Cr. Docket No. 205.) The PSR contains a lengthy and detailed summary of the facts underlying the charges brought against Movant in this case.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4" w:name="Bookmark_fnpara_3"/>
      <w:bookmarkEnd w:id="54"/>
      <w:r>
        <w:rPr>
          <w:rFonts w:ascii="arial" w:eastAsia="arial" w:hAnsi="arial" w:cs="arial"/>
          <w:b w:val="0"/>
          <w:i w:val="0"/>
          <w:strike w:val="0"/>
          <w:noProof w:val="0"/>
          <w:color w:val="000000"/>
          <w:position w:val="0"/>
          <w:sz w:val="18"/>
          <w:u w:val="none"/>
          <w:vertAlign w:val="baseline"/>
        </w:rPr>
        <w:t xml:space="preserve">Although Movant refers to the </w:t>
      </w:r>
      <w:hyperlink r:id="rId1" w:history="1">
        <w:r>
          <w:rPr>
            <w:rFonts w:ascii="arial" w:eastAsia="arial" w:hAnsi="arial" w:cs="arial"/>
            <w:b w:val="0"/>
            <w:i/>
            <w:strike w:val="0"/>
            <w:noProof w:val="0"/>
            <w:color w:val="0077CC"/>
            <w:position w:val="0"/>
            <w:sz w:val="18"/>
            <w:u w:val="single"/>
            <w:vertAlign w:val="baseline"/>
          </w:rPr>
          <w:t>Speedy Trial Act</w:t>
        </w:r>
      </w:hyperlink>
      <w:r>
        <w:rPr>
          <w:rFonts w:ascii="arial" w:eastAsia="arial" w:hAnsi="arial" w:cs="arial"/>
          <w:b w:val="0"/>
          <w:i w:val="0"/>
          <w:strike w:val="0"/>
          <w:noProof w:val="0"/>
          <w:color w:val="000000"/>
          <w:position w:val="0"/>
          <w:sz w:val="18"/>
          <w:u w:val="none"/>
          <w:vertAlign w:val="baseline"/>
        </w:rPr>
        <w:t>, he does not appear to claim—nor could he—that his rights were violated as a result of any delay between the date of his arrest and his guilty plea. The record reflects that the requirements of the Speedy Trial Act were met with regard to the filing of the indictment and the trial setting. Although the Court granted a number of continuances of the final pretrial conference and jury selection, each such continuance was based on appropriate findings in compliance with the Speedy Trial 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Cr. Docket Nos. 88, 93, 96, 98, 100, 102, 104, 106, 113, 117, 119.) As such, all delays prior to Movant's guilty plea were excludable under the 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3161(h)</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5" w:name="Bookmark_fnpara_4"/>
      <w:bookmarkEnd w:id="95"/>
      <w:r>
        <w:rPr>
          <w:rFonts w:ascii="arial" w:eastAsia="arial" w:hAnsi="arial" w:cs="arial"/>
          <w:b w:val="0"/>
          <w:i w:val="0"/>
          <w:strike w:val="0"/>
          <w:noProof w:val="0"/>
          <w:color w:val="000000"/>
          <w:position w:val="0"/>
          <w:sz w:val="18"/>
          <w:u w:val="none"/>
          <w:vertAlign w:val="baseline"/>
        </w:rPr>
        <w:t>Respondent's brief in support of its summary judgment motion provides a helpful chart that reflects the actions by the defendants and the Court regarding the sentencing date. (Docket No. 6, at 8-11.)</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6" w:name="Bookmark_fnpara_5"/>
      <w:bookmarkEnd w:id="96"/>
      <w:r>
        <w:rPr>
          <w:rFonts w:ascii="arial" w:eastAsia="arial" w:hAnsi="arial" w:cs="arial"/>
          <w:b w:val="0"/>
          <w:i w:val="0"/>
          <w:strike w:val="0"/>
          <w:noProof w:val="0"/>
          <w:color w:val="000000"/>
          <w:position w:val="0"/>
          <w:sz w:val="18"/>
          <w:u w:val="none"/>
          <w:vertAlign w:val="baseline"/>
        </w:rPr>
        <w:t>In addition to the many written motions to continue, the docket sheet reflects that Movant was present in the courtroom for a sentencing hearing on July 29, 2013, when a co-defendant orally requested a continuance of the sentencing hearing. This was about a year prior to Movant's final sentencing hearing (on August 18, 2014). There is no indication that Movant objected to the continuance.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8" w:name="Bookmark_fnpara_6"/>
      <w:bookmarkEnd w:id="98"/>
      <w:r>
        <w:rPr>
          <w:rFonts w:ascii="arial" w:eastAsia="arial" w:hAnsi="arial" w:cs="arial"/>
          <w:b w:val="0"/>
          <w:i w:val="0"/>
          <w:strike w:val="0"/>
          <w:noProof w:val="0"/>
          <w:color w:val="000000"/>
          <w:position w:val="0"/>
          <w:sz w:val="18"/>
          <w:u w:val="none"/>
          <w:vertAlign w:val="baseline"/>
        </w:rPr>
        <w:t>During his initial interview with the probation officer, Movant stated that did not participate in kidnapping the undocumented aliens, that he did not sexually assault any of the female aliens (although he claimed he had consensual sex with one), that he did not threaten anyone, and that he did not have any weapons in his possession during the offense.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Cr. Docket No. 127, ¶¶ 54, 66.) The evidence (including statements by multiple witnesses and cooperating defendants) overwhelmingly shows that Movant lied to the probation officer about his involvement.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9" w:name="Bookmark_fnpara_7"/>
      <w:bookmarkEnd w:id="99"/>
      <w:r>
        <w:rPr>
          <w:rFonts w:ascii="arial" w:eastAsia="arial" w:hAnsi="arial" w:cs="arial"/>
          <w:b w:val="0"/>
          <w:i w:val="0"/>
          <w:strike w:val="0"/>
          <w:noProof w:val="0"/>
          <w:color w:val="000000"/>
          <w:position w:val="0"/>
          <w:sz w:val="18"/>
          <w:u w:val="none"/>
          <w:vertAlign w:val="baseline"/>
        </w:rPr>
        <w:t>To be clear, there is no indication that the Court took into account the sentencing delay in granting the departure. To the contrary, the record reflects that the Court granted the defendants' motions to continue sentencing because the motions had merit and the requested continuances were in the interest of justice. But the additional time prior to Movant's sentencing may have contributed to the Court's conclusion that his offense level was excessive compared to other cases involving similar conduct.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1" w:name="Bookmark_fnpara_8"/>
      <w:bookmarkEnd w:id="131"/>
      <w:r>
        <w:rPr>
          <w:rFonts w:ascii="arial" w:eastAsia="arial" w:hAnsi="arial" w:cs="arial"/>
          <w:b w:val="0"/>
          <w:i w:val="0"/>
          <w:strike w:val="0"/>
          <w:noProof w:val="0"/>
          <w:color w:val="000000"/>
          <w:position w:val="0"/>
          <w:sz w:val="18"/>
          <w:u w:val="none"/>
          <w:vertAlign w:val="baseline"/>
        </w:rPr>
        <w:t>Movant also complains that his attorney should have opposed "the unnecessary revisions of the PSI." (Docket No. 1, at 8.) But Movant does not explain how he was harmed by the various revisions to the PSR, nor does he offer any basis on which counsel could have objected to the revisions. Movant may be suggesting that the revisions to the PSR contributed to the delay in his sentencing. If so, it would not change the analysis of Movant's speedy trial claim.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Moreno-Dominguez v. United States, 2017 U.S. Dist. LEXIS 116974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3R-PTD1-F04F-C1HC-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G9-5042-D6RV-H0BP-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D2B-T4J3-RRHY-T1CY-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statutes-legislation&amp;id=urn:contentItem:8T9R-T4F2-D6RV-H37N-00000-00&amp;context=1519360" TargetMode="External" /><Relationship Id="rId18" Type="http://schemas.openxmlformats.org/officeDocument/2006/relationships/hyperlink" Target="https://advance.lexis.com/api/document?collection=cases&amp;id=urn:contentItem:3S4X-5M60-003B-S0VR-00000-00&amp;context=1519360" TargetMode="External" /><Relationship Id="rId19" Type="http://schemas.openxmlformats.org/officeDocument/2006/relationships/hyperlink" Target="https://advance.lexis.com/api/document?collection=cases&amp;id=urn:contentItem:3RWW-9TW0-0038-X0G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NB0-008H-V4WB-00000-00&amp;context=1519360" TargetMode="External" /><Relationship Id="rId21" Type="http://schemas.openxmlformats.org/officeDocument/2006/relationships/hyperlink" Target="https://advance.lexis.com/api/document?collection=cases&amp;id=urn:contentItem:3S4X-55B0-008H-V407-00000-00&amp;context=1519360" TargetMode="External" /><Relationship Id="rId22" Type="http://schemas.openxmlformats.org/officeDocument/2006/relationships/hyperlink" Target="https://advance.lexis.com/api/document?collection=cases&amp;id=urn:contentItem:3S4X-2FY0-006F-M39H-00000-00&amp;context=1519360" TargetMode="External" /><Relationship Id="rId23" Type="http://schemas.openxmlformats.org/officeDocument/2006/relationships/hyperlink" Target="https://advance.lexis.com/api/document?collection=cases&amp;id=urn:contentItem:42V2-1YN0-0038-X4NC-00000-00&amp;context=1519360" TargetMode="External" /><Relationship Id="rId24" Type="http://schemas.openxmlformats.org/officeDocument/2006/relationships/hyperlink" Target="https://advance.lexis.com/api/document?collection=cases&amp;id=urn:contentItem:41Y2-JM00-0038-X2GG-00000-00&amp;context=1519360" TargetMode="External" /><Relationship Id="rId25" Type="http://schemas.openxmlformats.org/officeDocument/2006/relationships/hyperlink" Target="https://advance.lexis.com/api/document?collection=cases&amp;id=urn:contentItem:3SR3-2RK0-004C-0002-00000-00&amp;context=1519360" TargetMode="External" /><Relationship Id="rId26" Type="http://schemas.openxmlformats.org/officeDocument/2006/relationships/hyperlink" Target="https://advance.lexis.com/api/document?collection=cases&amp;id=urn:contentItem:3W7K-XX20-0038-X4D0-00000-00&amp;context=1519360" TargetMode="External" /><Relationship Id="rId27" Type="http://schemas.openxmlformats.org/officeDocument/2006/relationships/hyperlink" Target="https://advance.lexis.com/api/document?collection=cases&amp;id=urn:contentItem:3S4X-6H50-0039-N37J-00000-00&amp;context=1519360" TargetMode="External" /><Relationship Id="rId28" Type="http://schemas.openxmlformats.org/officeDocument/2006/relationships/hyperlink" Target="https://advance.lexis.com/api/document?collection=cases&amp;id=urn:contentItem:3S4X-39H0-006F-M00H-00000-00&amp;context=1519360" TargetMode="External" /><Relationship Id="rId29" Type="http://schemas.openxmlformats.org/officeDocument/2006/relationships/hyperlink" Target="https://advance.lexis.com/api/document?collection=cases&amp;id=urn:contentItem:3S4W-XY30-0039-M53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D5J0-003B-S2F5-00000-00&amp;context=1519360" TargetMode="External" /><Relationship Id="rId31" Type="http://schemas.openxmlformats.org/officeDocument/2006/relationships/hyperlink" Target="https://advance.lexis.com/api/document?collection=cases&amp;id=urn:contentItem:5H0P-B7F1-F04K-N0CW-00000-00&amp;context=1519360" TargetMode="External" /><Relationship Id="rId32" Type="http://schemas.openxmlformats.org/officeDocument/2006/relationships/hyperlink" Target="https://advance.lexis.com/api/document?collection=cases&amp;id=urn:contentItem:3S4X-1YR0-0039-M4JP-00000-00&amp;context=1519360" TargetMode="External" /><Relationship Id="rId33" Type="http://schemas.openxmlformats.org/officeDocument/2006/relationships/hyperlink" Target="https://advance.lexis.com/api/document?collection=cases&amp;id=urn:contentItem:470X-1RG0-0038-X262-00000-00&amp;context=1519360" TargetMode="External" /><Relationship Id="rId34" Type="http://schemas.openxmlformats.org/officeDocument/2006/relationships/hyperlink" Target="https://advance.lexis.com/api/document?collection=cases&amp;id=urn:contentItem:3S4X-47P0-008H-V4G5-00000-00&amp;context=1519360" TargetMode="External" /><Relationship Id="rId35" Type="http://schemas.openxmlformats.org/officeDocument/2006/relationships/hyperlink" Target="https://advance.lexis.com/api/document?collection=cases&amp;id=urn:contentItem:3S4X-3FN0-003B-S3TN-00000-00&amp;context=1519360" TargetMode="External" /><Relationship Id="rId36" Type="http://schemas.openxmlformats.org/officeDocument/2006/relationships/hyperlink" Target="https://advance.lexis.com/api/document?collection=cases&amp;id=urn:contentItem:44DV-0KH0-0038-X19M-00000-00&amp;context=1519360" TargetMode="External" /><Relationship Id="rId37" Type="http://schemas.openxmlformats.org/officeDocument/2006/relationships/hyperlink" Target="https://advance.lexis.com/api/document?collection=cases&amp;id=urn:contentItem:43T2-KGJ0-0038-X4Y3-00000-00&amp;context=1519360" TargetMode="External" /><Relationship Id="rId38" Type="http://schemas.openxmlformats.org/officeDocument/2006/relationships/hyperlink" Target="https://advance.lexis.com/api/document?collection=cases&amp;id=urn:contentItem:3S4X-1B30-003B-P2JX-00000-00&amp;context=1519360" TargetMode="External" /><Relationship Id="rId39" Type="http://schemas.openxmlformats.org/officeDocument/2006/relationships/hyperlink" Target="https://advance.lexis.com/api/document?collection=cases&amp;id=urn:contentItem:3RM0-C9Y0-0038-X1P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VYC-VMY0-0038-X3GJ-00000-00&amp;context=1519360" TargetMode="External" /><Relationship Id="rId41" Type="http://schemas.openxmlformats.org/officeDocument/2006/relationships/hyperlink" Target="https://advance.lexis.com/api/document?collection=statutes-legislation&amp;id=urn:contentItem:8SG9-5HW2-D6RV-H0VG-00000-00&amp;context=1519360" TargetMode="External" /><Relationship Id="rId42" Type="http://schemas.openxmlformats.org/officeDocument/2006/relationships/hyperlink" Target="https://advance.lexis.com/api/document?collection=statutes-legislation&amp;id=urn:contentItem:5GYC-2C71-FG36-13FM-00000-00&amp;context=1519360" TargetMode="External" /><Relationship Id="rId43" Type="http://schemas.openxmlformats.org/officeDocument/2006/relationships/hyperlink" Target="https://advance.lexis.com/api/document?collection=cases&amp;id=urn:contentItem:4810-8DH0-004B-Y01G-00000-00&amp;context=1519360" TargetMode="External" /><Relationship Id="rId44" Type="http://schemas.openxmlformats.org/officeDocument/2006/relationships/hyperlink" Target="https://advance.lexis.com/api/document?collection=cases&amp;id=urn:contentItem:4048-DFS0-004C-001X-00000-00&amp;context=1519360" TargetMode="External" /><Relationship Id="rId45" Type="http://schemas.openxmlformats.org/officeDocument/2006/relationships/hyperlink" Target="https://advance.lexis.com/api/document?collection=cases&amp;id=urn:contentItem:45FM-1FG0-0038-X28J-00000-00&amp;context=1519360" TargetMode="External" /><Relationship Id="rId46" Type="http://schemas.openxmlformats.org/officeDocument/2006/relationships/hyperlink" Target="https://advance.lexis.com/api/document?collection=statutes-legislation&amp;id=urn:contentItem:8SG9-5HW2-D6RV-H0BK-00000-00&amp;context=1519360" TargetMode="External" /><Relationship Id="rId47" Type="http://schemas.openxmlformats.org/officeDocument/2006/relationships/hyperlink" Target="https://advance.lexis.com/api/document?collection=statutes-legislation&amp;id=urn:contentItem:69J2-YYM3-RSTH-12MB-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P3W-2H51-F04F-C1J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5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Moreno-Dominguez v. United States, 2017 U.S. Dist. LEXIS 116974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urn:user:PA186186298</vt:lpwstr>
  </property>
</Properties>
</file>