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Hinojosa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2019,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18-40178 Summary Calendar Consolidated with 18-40312</w:t>
      </w:r>
    </w:p>
    <w:p>
      <w:pPr>
        <w:keepNext w:val="0"/>
        <w:spacing w:after="0" w:line="240" w:lineRule="atLeast"/>
        <w:ind w:right="0"/>
        <w:jc w:val="both"/>
      </w:pPr>
      <w:bookmarkStart w:id="0" w:name="Bookmark_3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753 Fed. Appx. 341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2019 U.S. App. LEXIS 4800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2019 WL 719127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JESELL LYNN HINOJOSA, Defendant-Appellant;UNITED STATES OF AMERICA, Plaintiff-Appellee v. JOSE AMANDO GARCIA-GONZALEZ, also known as Jose Armando Garcia-Gonzales,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Appeals from the United States District Court for the Southern District of Texas. USDC No. 5:17-CR-507-2, USDC No. 5:17-CR-507-1.</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Garcia-Gonzalez, 2017 U.S. Dist. LEXIS 183843 (S.D. Tex., Nov. 6, 2017)</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reasonable suspicion, border, quotation, marks, factual findings, district court, contributed, driver's, trunk, denial of a motion, motion to suppress, undocumented alien, clearly erroneous, illegal activity, border patrol, handprints, passengers, proximity, smuggling, transport, suppress, factors, Patrol, alien, drive</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(18-40178, 18-40312): Andrew R. Gould, Assistant U.S. Attorney, Carmen Castillo Mitchell, Assistant U.S.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JESELL LYNN HINOJOSA, Defendant - Appellant (18-40178): Claudia Valdez Balli,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JOSE AMANDO GARCIA-GONZALEZ, also known as Jose Armando Garcia-Gonzales, Defendant - Appellant (18-40312): Marc A. Gonzalez, Law Offices of Marc A. Gonzalez, P.C.L.L.,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JOLLY, COSTA, and HO,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0" w:name="Bookmark_para_3"/>
      <w:bookmarkEnd w:id="10"/>
      <w:r>
        <w:rPr>
          <w:rFonts w:ascii="arial" w:eastAsia="arial" w:hAnsi="arial" w:cs="arial"/>
          <w:b/>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12" w:name="Bookmark_para_4"/>
      <w:bookmarkEnd w:id="12"/>
      <w:bookmarkStart w:id="13" w:name="Bookmark_I5VGH71G28T4GT0020000400"/>
      <w:bookmarkEnd w:id="13"/>
      <w:r>
        <w:rPr>
          <w:rFonts w:ascii="arial" w:eastAsia="arial" w:hAnsi="arial" w:cs="arial"/>
          <w:b w:val="0"/>
          <w:i w:val="0"/>
          <w:strike w:val="0"/>
          <w:noProof w:val="0"/>
          <w:color w:val="000000"/>
          <w:position w:val="0"/>
          <w:sz w:val="20"/>
          <w:u w:val="none"/>
          <w:vertAlign w:val="baseline"/>
        </w:rPr>
        <w:t xml:space="preserve">Jesell Lynn Hinojosa and Jose Amando Garcia-Gonzalez entered conditional guilty pleas to conspiracy to transport an undocumented alien within the United States, in violation of </w:t>
      </w:r>
      <w:hyperlink r:id="rId11"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(v)(I)</w:t>
        </w:r>
      </w:hyperlink>
      <w:r>
        <w:rPr>
          <w:rFonts w:ascii="arial" w:eastAsia="arial" w:hAnsi="arial" w:cs="arial"/>
          <w:b w:val="0"/>
          <w:i w:val="0"/>
          <w:strike w:val="0"/>
          <w:noProof w:val="0"/>
          <w:color w:val="000000"/>
          <w:position w:val="0"/>
          <w:sz w:val="20"/>
          <w:u w:val="none"/>
          <w:vertAlign w:val="baseline"/>
        </w:rPr>
        <w:t xml:space="preserve">, reserving the right to appeal the district court's denial of their motions to suppress the evidence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discovered during an investigatory vehicle stop initiated by a United States Border Patrol agent. "When reviewing a denial of a motion to suppress evidence, this Court reviews factual findings for clear error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ultimate constitutionality of law enforcement action de novo." </w:t>
      </w:r>
      <w:bookmarkStart w:id="14" w:name="Bookmark_I5VGH71G28T4GT0010000400"/>
      <w:bookmarkEnd w:id="14"/>
      <w:hyperlink r:id="rId12" w:history="1">
        <w:r>
          <w:rPr>
            <w:rFonts w:ascii="arial" w:eastAsia="arial" w:hAnsi="arial" w:cs="arial"/>
            <w:b w:val="0"/>
            <w:i/>
            <w:strike w:val="0"/>
            <w:noProof w:val="0"/>
            <w:color w:val="0077CC"/>
            <w:position w:val="0"/>
            <w:sz w:val="20"/>
            <w:u w:val="single"/>
            <w:vertAlign w:val="baseline"/>
          </w:rPr>
          <w:t>United States v. Robinson</w:t>
        </w:r>
      </w:hyperlink>
      <w:hyperlink r:id="rId12" w:history="1">
        <w:r>
          <w:rPr>
            <w:rFonts w:ascii="arial" w:eastAsia="arial" w:hAnsi="arial" w:cs="arial"/>
            <w:b w:val="0"/>
            <w:i/>
            <w:strike w:val="0"/>
            <w:noProof w:val="0"/>
            <w:color w:val="0077CC"/>
            <w:position w:val="0"/>
            <w:sz w:val="20"/>
            <w:u w:val="single"/>
            <w:vertAlign w:val="baseline"/>
          </w:rPr>
          <w:t>, 741 F.3d 588, 594 (5th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5"/>
      <w:bookmarkEnd w:id="15"/>
      <w:bookmarkStart w:id="16" w:name="Bookmark_I5VGH71G28T4GT0040000400"/>
      <w:bookmarkEnd w:id="16"/>
      <w:r>
        <w:rPr>
          <w:rFonts w:ascii="arial" w:eastAsia="arial" w:hAnsi="arial" w:cs="arial"/>
          <w:b w:val="0"/>
          <w:i w:val="0"/>
          <w:strike w:val="0"/>
          <w:noProof w:val="0"/>
          <w:color w:val="000000"/>
          <w:position w:val="0"/>
          <w:sz w:val="20"/>
          <w:u w:val="none"/>
          <w:vertAlign w:val="baseline"/>
        </w:rPr>
        <w:t xml:space="preserve">In the context of a roving border patrol, agents "may detain vehicles for investigation only if they are aware of specific, articulable facts, together with rational inferences from those facts, that reasonably warrant suspicion that the vehicle is involved in illegal activities," such as transporting undocumented aliens. </w:t>
      </w:r>
      <w:bookmarkStart w:id="17" w:name="Bookmark_I2TPNV30KW000106G5T0004F"/>
      <w:bookmarkEnd w:id="17"/>
      <w:bookmarkStart w:id="18" w:name="Bookmark_I5VGH71G2HM6V40010000400"/>
      <w:bookmarkEnd w:id="18"/>
      <w:bookmarkStart w:id="19" w:name="Bookmark_I5VGH71G28T4GT0030000400"/>
      <w:bookmarkEnd w:id="19"/>
      <w:hyperlink r:id="rId13" w:history="1">
        <w:r>
          <w:rPr>
            <w:rFonts w:ascii="arial" w:eastAsia="arial" w:hAnsi="arial" w:cs="arial"/>
            <w:b w:val="0"/>
            <w:i/>
            <w:strike w:val="0"/>
            <w:noProof w:val="0"/>
            <w:color w:val="0077CC"/>
            <w:position w:val="0"/>
            <w:sz w:val="20"/>
            <w:u w:val="single"/>
            <w:vertAlign w:val="baseline"/>
          </w:rPr>
          <w:t>United States v. Garza</w:t>
        </w:r>
      </w:hyperlink>
      <w:hyperlink r:id="rId13" w:history="1">
        <w:r>
          <w:rPr>
            <w:rFonts w:ascii="arial" w:eastAsia="arial" w:hAnsi="arial" w:cs="arial"/>
            <w:b w:val="0"/>
            <w:i/>
            <w:strike w:val="0"/>
            <w:noProof w:val="0"/>
            <w:color w:val="0077CC"/>
            <w:position w:val="0"/>
            <w:sz w:val="20"/>
            <w:u w:val="single"/>
            <w:vertAlign w:val="baseline"/>
          </w:rPr>
          <w:t>, 727 F.3d 436, 440 (5th Cir. 2013)</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The factors to be considered include (1) the area's proximity to the border; (2) the characteristics of the area; (3) usual traffic patterns; (4) the agents' experience in detecting illegal activity; (5) the driver's behavior; (6) particular characteristics of the vehicle; (7) information about recent illegal trafficking of aliens or narcotics in the area; and (8) the number of passengers in the vehicle and their appearance and behavior. </w:t>
      </w:r>
      <w:bookmarkStart w:id="20" w:name="Bookmark_I5VGH71G2HM6V40010000400_2"/>
      <w:bookmarkEnd w:id="20"/>
      <w:bookmarkStart w:id="21" w:name="Bookmark_I5VGH71G28T4GT0050000400"/>
      <w:bookmarkEnd w:id="21"/>
      <w:hyperlink r:id="rId14" w:history="1">
        <w:r>
          <w:rPr>
            <w:rFonts w:ascii="arial" w:eastAsia="arial" w:hAnsi="arial" w:cs="arial"/>
            <w:b w:val="0"/>
            <w:i/>
            <w:strike w:val="0"/>
            <w:noProof w:val="0"/>
            <w:color w:val="0077CC"/>
            <w:position w:val="0"/>
            <w:sz w:val="20"/>
            <w:u w:val="single"/>
            <w:vertAlign w:val="baseline"/>
          </w:rPr>
          <w:t>United States v. Brignoni-Ponce</w:t>
        </w:r>
      </w:hyperlink>
      <w:hyperlink r:id="rId14" w:history="1">
        <w:r>
          <w:rPr>
            <w:rFonts w:ascii="arial" w:eastAsia="arial" w:hAnsi="arial" w:cs="arial"/>
            <w:b w:val="0"/>
            <w:i/>
            <w:strike w:val="0"/>
            <w:noProof w:val="0"/>
            <w:color w:val="0077CC"/>
            <w:position w:val="0"/>
            <w:sz w:val="20"/>
            <w:u w:val="single"/>
            <w:vertAlign w:val="baseline"/>
          </w:rPr>
          <w:t>, 422 U.S. 873, 884-85, 95 S. Ct. 2574, 45 L. Ed. 2d 607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 w:name="Bookmark_para_6"/>
      <w:bookmarkEnd w:id="22"/>
      <w:bookmarkStart w:id="23" w:name="Bookmark_I5VGH71G2HM6V40030000400"/>
      <w:bookmarkEnd w:id="23"/>
      <w:bookmarkStart w:id="24" w:name="Bookmark_I5VGH71G2HM6V40050000400"/>
      <w:bookmarkEnd w:id="24"/>
      <w:r>
        <w:rPr>
          <w:rFonts w:ascii="arial" w:eastAsia="arial" w:hAnsi="arial" w:cs="arial"/>
          <w:b w:val="0"/>
          <w:i w:val="0"/>
          <w:strike w:val="0"/>
          <w:noProof w:val="0"/>
          <w:color w:val="000000"/>
          <w:position w:val="0"/>
          <w:sz w:val="20"/>
          <w:u w:val="none"/>
          <w:vertAlign w:val="baseline"/>
        </w:rPr>
        <w:t xml:space="preserve">The first factor, proximity to the border, is a "paramount factor." </w:t>
      </w:r>
      <w:bookmarkStart w:id="25" w:name="Bookmark_I5VGH71G2HM6V40020000400"/>
      <w:bookmarkEnd w:id="25"/>
      <w:hyperlink r:id="rId13" w:history="1">
        <w:r>
          <w:rPr>
            <w:rFonts w:ascii="arial" w:eastAsia="arial" w:hAnsi="arial" w:cs="arial"/>
            <w:b w:val="0"/>
            <w:i/>
            <w:strike w:val="0"/>
            <w:noProof w:val="0"/>
            <w:color w:val="0077CC"/>
            <w:position w:val="0"/>
            <w:sz w:val="20"/>
            <w:u w:val="single"/>
            <w:vertAlign w:val="baseline"/>
          </w:rPr>
          <w:t>Garza</w:t>
        </w:r>
      </w:hyperlink>
      <w:hyperlink r:id="rId13" w:history="1">
        <w:r>
          <w:rPr>
            <w:rFonts w:ascii="arial" w:eastAsia="arial" w:hAnsi="arial" w:cs="arial"/>
            <w:b w:val="0"/>
            <w:i/>
            <w:strike w:val="0"/>
            <w:noProof w:val="0"/>
            <w:color w:val="0077CC"/>
            <w:position w:val="0"/>
            <w:sz w:val="20"/>
            <w:u w:val="single"/>
            <w:vertAlign w:val="baseline"/>
          </w:rPr>
          <w:t>, 727 F.3d at 441</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A vehicle's location within 50 miles of the border creates "a stand-alone inference that the vehicle's journey </w:t>
      </w:r>
      <w:r>
        <w:rPr>
          <w:rFonts w:ascii="arial" w:eastAsia="arial" w:hAnsi="arial" w:cs="arial"/>
          <w:b/>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originated at the border." </w:t>
      </w:r>
      <w:bookmarkStart w:id="26" w:name="Bookmark_I5VGH71G2HM6V40040000400"/>
      <w:bookmarkEnd w:id="26"/>
      <w:hyperlink r:id="rId15" w:history="1">
        <w:r>
          <w:rPr>
            <w:rFonts w:ascii="arial" w:eastAsia="arial" w:hAnsi="arial" w:cs="arial"/>
            <w:b w:val="0"/>
            <w:i/>
            <w:strike w:val="0"/>
            <w:noProof w:val="0"/>
            <w:color w:val="0077CC"/>
            <w:position w:val="0"/>
            <w:sz w:val="20"/>
            <w:u w:val="single"/>
            <w:vertAlign w:val="baseline"/>
          </w:rPr>
          <w:t>United States v. Soto</w:t>
        </w:r>
      </w:hyperlink>
      <w:hyperlink r:id="rId15" w:history="1">
        <w:r>
          <w:rPr>
            <w:rFonts w:ascii="arial" w:eastAsia="arial" w:hAnsi="arial" w:cs="arial"/>
            <w:b w:val="0"/>
            <w:i/>
            <w:strike w:val="0"/>
            <w:noProof w:val="0"/>
            <w:color w:val="0077CC"/>
            <w:position w:val="0"/>
            <w:sz w:val="20"/>
            <w:u w:val="single"/>
            <w:vertAlign w:val="baseline"/>
          </w:rPr>
          <w:t>, 649 F.3d 406, 409 (5th Cir. 2011)</w:t>
        </w:r>
      </w:hyperlink>
      <w:r>
        <w:rPr>
          <w:rFonts w:ascii="arial" w:eastAsia="arial" w:hAnsi="arial" w:cs="arial"/>
          <w:b w:val="0"/>
          <w:i w:val="0"/>
          <w:strike w:val="0"/>
          <w:noProof w:val="0"/>
          <w:color w:val="000000"/>
          <w:position w:val="0"/>
          <w:sz w:val="20"/>
          <w:u w:val="none"/>
          <w:vertAlign w:val="baseline"/>
        </w:rPr>
        <w:t xml:space="preserve">. </w:t>
      </w:r>
      <w:bookmarkStart w:id="27" w:name="Bookmark_I5VGH71G2N1RGY0020000400"/>
      <w:bookmarkEnd w:id="27"/>
      <w:r>
        <w:rPr>
          <w:rFonts w:ascii="arial" w:eastAsia="arial" w:hAnsi="arial" w:cs="arial"/>
          <w:b w:val="0"/>
          <w:i w:val="0"/>
          <w:strike w:val="0"/>
          <w:noProof w:val="0"/>
          <w:color w:val="000000"/>
          <w:position w:val="0"/>
          <w:sz w:val="20"/>
          <w:u w:val="none"/>
          <w:vertAlign w:val="baseline"/>
        </w:rPr>
        <w:t>In this case, the agent first observed the vehicle approximately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three miles north of the border. </w:t>
      </w:r>
      <w:bookmarkStart w:id="28" w:name="Bookmark_I5VGH71G2N1RGY0020000400_2"/>
      <w:bookmarkEnd w:id="28"/>
      <w:r>
        <w:rPr>
          <w:rFonts w:ascii="arial" w:eastAsia="arial" w:hAnsi="arial" w:cs="arial"/>
          <w:b w:val="0"/>
          <w:i w:val="0"/>
          <w:strike w:val="0"/>
          <w:noProof w:val="0"/>
          <w:color w:val="000000"/>
          <w:position w:val="0"/>
          <w:sz w:val="20"/>
          <w:u w:val="none"/>
          <w:vertAlign w:val="baseline"/>
        </w:rPr>
        <w:t xml:space="preserve">Further, the area's characteristics and the agent's information contributed to reasonable suspicion because the agent testified that he knew Highway 83 was a common route for smuggling. </w:t>
      </w:r>
      <w:bookmarkStart w:id="29" w:name="Bookmark_I5VGH71G2N1RGY0040000400"/>
      <w:bookmarkEnd w:id="29"/>
      <w:r>
        <w:rPr>
          <w:rFonts w:ascii="arial" w:eastAsia="arial" w:hAnsi="arial" w:cs="arial"/>
          <w:b w:val="0"/>
          <w:i/>
          <w:strike w:val="0"/>
          <w:noProof w:val="0"/>
          <w:color w:val="000000"/>
          <w:position w:val="0"/>
          <w:sz w:val="20"/>
          <w:u w:val="none"/>
          <w:vertAlign w:val="baseline"/>
        </w:rPr>
        <w:t xml:space="preserve">See </w:t>
      </w:r>
      <w:bookmarkStart w:id="30" w:name="Bookmark_I5VGH71G2N1RGY0010000400"/>
      <w:bookmarkEnd w:id="30"/>
      <w:hyperlink r:id="rId16" w:history="1">
        <w:r>
          <w:rPr>
            <w:rFonts w:ascii="arial" w:eastAsia="arial" w:hAnsi="arial" w:cs="arial"/>
            <w:b w:val="0"/>
            <w:i/>
            <w:strike w:val="0"/>
            <w:noProof w:val="0"/>
            <w:color w:val="0077CC"/>
            <w:position w:val="0"/>
            <w:sz w:val="20"/>
            <w:u w:val="single"/>
            <w:vertAlign w:val="baseline"/>
          </w:rPr>
          <w:t>United States v. Hernandez</w:t>
        </w:r>
      </w:hyperlink>
      <w:hyperlink r:id="rId16" w:history="1">
        <w:r>
          <w:rPr>
            <w:rFonts w:ascii="arial" w:eastAsia="arial" w:hAnsi="arial" w:cs="arial"/>
            <w:b w:val="0"/>
            <w:i/>
            <w:strike w:val="0"/>
            <w:noProof w:val="0"/>
            <w:color w:val="0077CC"/>
            <w:position w:val="0"/>
            <w:sz w:val="20"/>
            <w:u w:val="single"/>
            <w:vertAlign w:val="baseline"/>
          </w:rPr>
          <w:t>, 477 F.3d 210, 211-12 (5th Cir. 2007)</w:t>
        </w:r>
      </w:hyperlink>
      <w:r>
        <w:rPr>
          <w:rFonts w:ascii="arial" w:eastAsia="arial" w:hAnsi="arial" w:cs="arial"/>
          <w:b w:val="0"/>
          <w:i w:val="0"/>
          <w:strike w:val="0"/>
          <w:noProof w:val="0"/>
          <w:color w:val="000000"/>
          <w:position w:val="0"/>
          <w:sz w:val="20"/>
          <w:u w:val="none"/>
          <w:vertAlign w:val="baseline"/>
        </w:rPr>
        <w:t xml:space="preserve">. </w:t>
      </w:r>
      <w:bookmarkStart w:id="31" w:name="Bookmark_I5VGH71G2N1RGY0040000400_2"/>
      <w:bookmarkEnd w:id="31"/>
      <w:r>
        <w:rPr>
          <w:rFonts w:ascii="arial" w:eastAsia="arial" w:hAnsi="arial" w:cs="arial"/>
          <w:b w:val="0"/>
          <w:i w:val="0"/>
          <w:strike w:val="0"/>
          <w:noProof w:val="0"/>
          <w:color w:val="000000"/>
          <w:position w:val="0"/>
          <w:sz w:val="20"/>
          <w:u w:val="none"/>
          <w:vertAlign w:val="baseline"/>
        </w:rPr>
        <w:t xml:space="preserve">The agent's experience also contributed to reasonable suspicion in this case because he was a nine-year veteran of the Border Patrol whose experience consisted almost entirely of patrols of Highway 83. </w:t>
      </w:r>
      <w:r>
        <w:rPr>
          <w:rFonts w:ascii="arial" w:eastAsia="arial" w:hAnsi="arial" w:cs="arial"/>
          <w:b w:val="0"/>
          <w:i/>
          <w:strike w:val="0"/>
          <w:noProof w:val="0"/>
          <w:color w:val="000000"/>
          <w:position w:val="0"/>
          <w:sz w:val="20"/>
          <w:u w:val="none"/>
          <w:vertAlign w:val="baseline"/>
        </w:rPr>
        <w:t xml:space="preserve">See </w:t>
      </w:r>
      <w:bookmarkStart w:id="32" w:name="Bookmark_I5VGH71G2N1RGY0030000400"/>
      <w:bookmarkEnd w:id="32"/>
      <w:hyperlink r:id="rId17" w:history="1">
        <w:r>
          <w:rPr>
            <w:rFonts w:ascii="arial" w:eastAsia="arial" w:hAnsi="arial" w:cs="arial"/>
            <w:b w:val="0"/>
            <w:i/>
            <w:strike w:val="0"/>
            <w:noProof w:val="0"/>
            <w:color w:val="0077CC"/>
            <w:position w:val="0"/>
            <w:sz w:val="20"/>
            <w:u w:val="single"/>
            <w:vertAlign w:val="baseline"/>
          </w:rPr>
          <w:t>United States v. Ramirez</w:t>
        </w:r>
      </w:hyperlink>
      <w:hyperlink r:id="rId17" w:history="1">
        <w:r>
          <w:rPr>
            <w:rFonts w:ascii="arial" w:eastAsia="arial" w:hAnsi="arial" w:cs="arial"/>
            <w:b w:val="0"/>
            <w:i/>
            <w:strike w:val="0"/>
            <w:noProof w:val="0"/>
            <w:color w:val="0077CC"/>
            <w:position w:val="0"/>
            <w:sz w:val="20"/>
            <w:u w:val="single"/>
            <w:vertAlign w:val="baseline"/>
          </w:rPr>
          <w:t>, 839 F.3d 437, 440 (5th Cir. 2016)</w:t>
        </w:r>
      </w:hyperlink>
      <w:r>
        <w:rPr>
          <w:rFonts w:ascii="arial" w:eastAsia="arial" w:hAnsi="arial" w:cs="arial"/>
          <w:b w:val="0"/>
          <w:i w:val="0"/>
          <w:strike w:val="0"/>
          <w:noProof w:val="0"/>
          <w:color w:val="000000"/>
          <w:position w:val="0"/>
          <w:sz w:val="20"/>
          <w:u w:val="none"/>
          <w:vertAlign w:val="baseline"/>
        </w:rPr>
        <w:t xml:space="preserve">; </w:t>
      </w:r>
      <w:bookmarkStart w:id="33" w:name="Bookmark_I5VGH71G2N1RGY0050000400"/>
      <w:bookmarkEnd w:id="33"/>
      <w:hyperlink r:id="rId18" w:history="1">
        <w:r>
          <w:rPr>
            <w:rFonts w:ascii="arial" w:eastAsia="arial" w:hAnsi="arial" w:cs="arial"/>
            <w:b w:val="0"/>
            <w:i/>
            <w:strike w:val="0"/>
            <w:noProof w:val="0"/>
            <w:color w:val="0077CC"/>
            <w:position w:val="0"/>
            <w:sz w:val="20"/>
            <w:u w:val="single"/>
            <w:vertAlign w:val="baseline"/>
          </w:rPr>
          <w:t>United States v. Chavez-Chavez</w:t>
        </w:r>
      </w:hyperlink>
      <w:hyperlink r:id="rId18" w:history="1">
        <w:r>
          <w:rPr>
            <w:rFonts w:ascii="arial" w:eastAsia="arial" w:hAnsi="arial" w:cs="arial"/>
            <w:b w:val="0"/>
            <w:i/>
            <w:strike w:val="0"/>
            <w:noProof w:val="0"/>
            <w:color w:val="0077CC"/>
            <w:position w:val="0"/>
            <w:sz w:val="20"/>
            <w:u w:val="single"/>
            <w:vertAlign w:val="baseline"/>
          </w:rPr>
          <w:t>, 205 F.3d 145, 149 (5th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7"/>
      <w:bookmarkEnd w:id="34"/>
      <w:bookmarkStart w:id="35" w:name="Bookmark_I5VGH71G2D6NR80030000400"/>
      <w:bookmarkEnd w:id="35"/>
      <w:r>
        <w:rPr>
          <w:rFonts w:ascii="arial" w:eastAsia="arial" w:hAnsi="arial" w:cs="arial"/>
          <w:b w:val="0"/>
          <w:i w:val="0"/>
          <w:strike w:val="0"/>
          <w:noProof w:val="0"/>
          <w:color w:val="000000"/>
          <w:position w:val="0"/>
          <w:sz w:val="20"/>
          <w:u w:val="none"/>
          <w:vertAlign w:val="baseline"/>
        </w:rPr>
        <w:t xml:space="preserve">The district court determined that the driver's behavior, including looking at the agent in the rearview mirror, did not contribute to reasonable suspicion. </w:t>
      </w:r>
      <w:bookmarkStart w:id="36" w:name="Bookmark_I5VGH71G2D6NR80050000400"/>
      <w:bookmarkEnd w:id="36"/>
      <w:r>
        <w:rPr>
          <w:rFonts w:ascii="arial" w:eastAsia="arial" w:hAnsi="arial" w:cs="arial"/>
          <w:b w:val="0"/>
          <w:i/>
          <w:strike w:val="0"/>
          <w:noProof w:val="0"/>
          <w:color w:val="000000"/>
          <w:position w:val="0"/>
          <w:sz w:val="20"/>
          <w:u w:val="none"/>
          <w:vertAlign w:val="baseline"/>
        </w:rPr>
        <w:t xml:space="preserve">See </w:t>
      </w:r>
      <w:bookmarkStart w:id="37" w:name="Bookmark_I5VGH71G2D6NR80020000400"/>
      <w:bookmarkEnd w:id="37"/>
      <w:hyperlink r:id="rId19" w:history="1">
        <w:r>
          <w:rPr>
            <w:rFonts w:ascii="arial" w:eastAsia="arial" w:hAnsi="arial" w:cs="arial"/>
            <w:b w:val="0"/>
            <w:i/>
            <w:strike w:val="0"/>
            <w:noProof w:val="0"/>
            <w:color w:val="0077CC"/>
            <w:position w:val="0"/>
            <w:sz w:val="20"/>
            <w:u w:val="single"/>
            <w:vertAlign w:val="baseline"/>
          </w:rPr>
          <w:t>United States v. Moreno-Chaparro</w:t>
        </w:r>
      </w:hyperlink>
      <w:hyperlink r:id="rId19" w:history="1">
        <w:r>
          <w:rPr>
            <w:rFonts w:ascii="arial" w:eastAsia="arial" w:hAnsi="arial" w:cs="arial"/>
            <w:b w:val="0"/>
            <w:i/>
            <w:strike w:val="0"/>
            <w:noProof w:val="0"/>
            <w:color w:val="0077CC"/>
            <w:position w:val="0"/>
            <w:sz w:val="20"/>
            <w:u w:val="single"/>
            <w:vertAlign w:val="baseline"/>
          </w:rPr>
          <w:t>, 180 F.3d 629, 632 (5th Cir. 1998)</w:t>
        </w:r>
      </w:hyperlink>
      <w:r>
        <w:rPr>
          <w:rFonts w:ascii="arial" w:eastAsia="arial" w:hAnsi="arial" w:cs="arial"/>
          <w:b w:val="0"/>
          <w:i w:val="0"/>
          <w:strike w:val="0"/>
          <w:noProof w:val="0"/>
          <w:color w:val="000000"/>
          <w:position w:val="0"/>
          <w:sz w:val="20"/>
          <w:u w:val="none"/>
          <w:vertAlign w:val="baseline"/>
        </w:rPr>
        <w:t xml:space="preserve">. Further, the stiff body language of the passengers did not contribute to reasonable suspicion. </w:t>
      </w:r>
      <w:bookmarkStart w:id="38" w:name="Bookmark_I5VGH71G2D6NR80050000400_2"/>
      <w:bookmarkEnd w:id="38"/>
      <w:bookmarkStart w:id="39" w:name="Bookmark_I5VGH71G28T4GV0020000400"/>
      <w:bookmarkEnd w:id="39"/>
      <w:r>
        <w:rPr>
          <w:rFonts w:ascii="arial" w:eastAsia="arial" w:hAnsi="arial" w:cs="arial"/>
          <w:b w:val="0"/>
          <w:i/>
          <w:strike w:val="0"/>
          <w:noProof w:val="0"/>
          <w:color w:val="000000"/>
          <w:position w:val="0"/>
          <w:sz w:val="20"/>
          <w:u w:val="none"/>
          <w:vertAlign w:val="baseline"/>
        </w:rPr>
        <w:t xml:space="preserve">See </w:t>
      </w:r>
      <w:bookmarkStart w:id="40" w:name="Bookmark_I5VGH71G2D6NR80040000400"/>
      <w:bookmarkEnd w:id="40"/>
      <w:hyperlink r:id="rId20" w:history="1">
        <w:r>
          <w:rPr>
            <w:rFonts w:ascii="arial" w:eastAsia="arial" w:hAnsi="arial" w:cs="arial"/>
            <w:b w:val="0"/>
            <w:i/>
            <w:strike w:val="0"/>
            <w:noProof w:val="0"/>
            <w:color w:val="0077CC"/>
            <w:position w:val="0"/>
            <w:sz w:val="20"/>
            <w:u w:val="single"/>
            <w:vertAlign w:val="baseline"/>
          </w:rPr>
          <w:t>United States v. Rangel-Portillo</w:t>
        </w:r>
      </w:hyperlink>
      <w:hyperlink r:id="rId20" w:history="1">
        <w:r>
          <w:rPr>
            <w:rFonts w:ascii="arial" w:eastAsia="arial" w:hAnsi="arial" w:cs="arial"/>
            <w:b w:val="0"/>
            <w:i/>
            <w:strike w:val="0"/>
            <w:noProof w:val="0"/>
            <w:color w:val="0077CC"/>
            <w:position w:val="0"/>
            <w:sz w:val="20"/>
            <w:u w:val="single"/>
            <w:vertAlign w:val="baseline"/>
          </w:rPr>
          <w:t>, 586 F.3d 376, 381 (5th Cir. 2009)</w:t>
        </w:r>
      </w:hyperlink>
      <w:r>
        <w:rPr>
          <w:rFonts w:ascii="arial" w:eastAsia="arial" w:hAnsi="arial" w:cs="arial"/>
          <w:b w:val="0"/>
          <w:i w:val="0"/>
          <w:strike w:val="0"/>
          <w:noProof w:val="0"/>
          <w:color w:val="000000"/>
          <w:position w:val="0"/>
          <w:sz w:val="20"/>
          <w:u w:val="none"/>
          <w:vertAlign w:val="baseline"/>
        </w:rPr>
        <w:t xml:space="preserve">. </w:t>
      </w:r>
      <w:bookmarkStart w:id="41" w:name="Bookmark_I5VGH71G28T4GV0020000400_2"/>
      <w:bookmarkEnd w:id="41"/>
      <w:r>
        <w:rPr>
          <w:rFonts w:ascii="arial" w:eastAsia="arial" w:hAnsi="arial" w:cs="arial"/>
          <w:b w:val="0"/>
          <w:i w:val="0"/>
          <w:strike w:val="0"/>
          <w:noProof w:val="0"/>
          <w:color w:val="000000"/>
          <w:position w:val="0"/>
          <w:sz w:val="20"/>
          <w:u w:val="none"/>
          <w:vertAlign w:val="baseline"/>
        </w:rPr>
        <w:t xml:space="preserve">However, the driver's unusually low speeds contributed to reasonable suspicion. </w:t>
      </w:r>
      <w:bookmarkStart w:id="42" w:name="Bookmark_I5VGH71G28T4GV0040000400"/>
      <w:bookmarkEnd w:id="42"/>
      <w:r>
        <w:rPr>
          <w:rFonts w:ascii="arial" w:eastAsia="arial" w:hAnsi="arial" w:cs="arial"/>
          <w:b w:val="0"/>
          <w:i/>
          <w:strike w:val="0"/>
          <w:noProof w:val="0"/>
          <w:color w:val="000000"/>
          <w:position w:val="0"/>
          <w:sz w:val="20"/>
          <w:u w:val="none"/>
          <w:vertAlign w:val="baseline"/>
        </w:rPr>
        <w:t xml:space="preserve">See </w:t>
      </w:r>
      <w:bookmarkStart w:id="43" w:name="Bookmark_I5VGH71G28T4GV0010000400"/>
      <w:bookmarkEnd w:id="43"/>
      <w:hyperlink r:id="rId21" w:history="1">
        <w:r>
          <w:rPr>
            <w:rFonts w:ascii="arial" w:eastAsia="arial" w:hAnsi="arial" w:cs="arial"/>
            <w:b w:val="0"/>
            <w:i/>
            <w:strike w:val="0"/>
            <w:noProof w:val="0"/>
            <w:color w:val="0077CC"/>
            <w:position w:val="0"/>
            <w:sz w:val="20"/>
            <w:u w:val="single"/>
            <w:vertAlign w:val="baseline"/>
          </w:rPr>
          <w:t>United States v. Zapata-Ibarra</w:t>
        </w:r>
      </w:hyperlink>
      <w:hyperlink r:id="rId21" w:history="1">
        <w:r>
          <w:rPr>
            <w:rFonts w:ascii="arial" w:eastAsia="arial" w:hAnsi="arial" w:cs="arial"/>
            <w:b w:val="0"/>
            <w:i/>
            <w:strike w:val="0"/>
            <w:noProof w:val="0"/>
            <w:color w:val="0077CC"/>
            <w:position w:val="0"/>
            <w:sz w:val="20"/>
            <w:u w:val="single"/>
            <w:vertAlign w:val="baseline"/>
          </w:rPr>
          <w:t>, 212 F.3d 877, 883-84 (5th Cir. 2000)</w:t>
        </w:r>
      </w:hyperlink>
      <w:r>
        <w:rPr>
          <w:rFonts w:ascii="arial" w:eastAsia="arial" w:hAnsi="arial" w:cs="arial"/>
          <w:b w:val="0"/>
          <w:i w:val="0"/>
          <w:strike w:val="0"/>
          <w:noProof w:val="0"/>
          <w:color w:val="000000"/>
          <w:position w:val="0"/>
          <w:sz w:val="20"/>
          <w:u w:val="none"/>
          <w:vertAlign w:val="baseline"/>
        </w:rPr>
        <w:t xml:space="preserve">. </w:t>
      </w:r>
      <w:bookmarkStart w:id="44" w:name="Bookmark_I5VGH71G28T4GV0040000400_2"/>
      <w:bookmarkEnd w:id="44"/>
      <w:r>
        <w:rPr>
          <w:rFonts w:ascii="arial" w:eastAsia="arial" w:hAnsi="arial" w:cs="arial"/>
          <w:b w:val="0"/>
          <w:i w:val="0"/>
          <w:strike w:val="0"/>
          <w:noProof w:val="0"/>
          <w:color w:val="000000"/>
          <w:position w:val="0"/>
          <w:sz w:val="20"/>
          <w:u w:val="none"/>
          <w:vertAlign w:val="baseline"/>
        </w:rPr>
        <w:t xml:space="preserve">The court's factual finding that the vehicle was driving 60 miles per hour in a 75 mile-per-hour zone is not clearly erroneous when viewed with deference to the district court and in favor of the prevailing party. </w:t>
      </w:r>
      <w:r>
        <w:rPr>
          <w:rFonts w:ascii="arial" w:eastAsia="arial" w:hAnsi="arial" w:cs="arial"/>
          <w:b w:val="0"/>
          <w:i/>
          <w:strike w:val="0"/>
          <w:noProof w:val="0"/>
          <w:color w:val="000000"/>
          <w:position w:val="0"/>
          <w:sz w:val="20"/>
          <w:u w:val="none"/>
          <w:vertAlign w:val="baseline"/>
        </w:rPr>
        <w:t xml:space="preserve">See </w:t>
      </w:r>
      <w:bookmarkStart w:id="45" w:name="Bookmark_I5VGH71G28T4GV0030000400"/>
      <w:bookmarkEnd w:id="45"/>
      <w:hyperlink r:id="rId22" w:history="1">
        <w:r>
          <w:rPr>
            <w:rFonts w:ascii="arial" w:eastAsia="arial" w:hAnsi="arial" w:cs="arial"/>
            <w:b w:val="0"/>
            <w:i/>
            <w:strike w:val="0"/>
            <w:noProof w:val="0"/>
            <w:color w:val="0077CC"/>
            <w:position w:val="0"/>
            <w:sz w:val="20"/>
            <w:u w:val="single"/>
            <w:vertAlign w:val="baseline"/>
          </w:rPr>
          <w:t>United States v. Pack</w:t>
        </w:r>
      </w:hyperlink>
      <w:hyperlink r:id="rId22" w:history="1">
        <w:r>
          <w:rPr>
            <w:rFonts w:ascii="arial" w:eastAsia="arial" w:hAnsi="arial" w:cs="arial"/>
            <w:b w:val="0"/>
            <w:i/>
            <w:strike w:val="0"/>
            <w:noProof w:val="0"/>
            <w:color w:val="0077CC"/>
            <w:position w:val="0"/>
            <w:sz w:val="20"/>
            <w:u w:val="single"/>
            <w:vertAlign w:val="baseline"/>
          </w:rPr>
          <w:t>, 612 F.3d 341, 347 (5th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8"/>
      <w:bookmarkEnd w:id="46"/>
      <w:bookmarkStart w:id="47" w:name="Bookmark_I5VGH71G2SF7JX0010000400"/>
      <w:bookmarkEnd w:id="47"/>
      <w:bookmarkStart w:id="48" w:name="Bookmark_I5VGH71G2SF7JX0030000400"/>
      <w:bookmarkEnd w:id="48"/>
      <w:r>
        <w:rPr>
          <w:rFonts w:ascii="arial" w:eastAsia="arial" w:hAnsi="arial" w:cs="arial"/>
          <w:b w:val="0"/>
          <w:i w:val="0"/>
          <w:strike w:val="0"/>
          <w:noProof w:val="0"/>
          <w:color w:val="000000"/>
          <w:position w:val="0"/>
          <w:sz w:val="20"/>
          <w:u w:val="none"/>
          <w:vertAlign w:val="baseline"/>
        </w:rPr>
        <w:t xml:space="preserve">Finally, the characteristics of the vehicle—dirty, bearing handprints on the trunk, and laden in the back—contributed to reasonable suspicion. </w:t>
      </w:r>
      <w:bookmarkStart w:id="49" w:name="Bookmark_I5VGH71G2SF7JX0050000400"/>
      <w:bookmarkEnd w:id="49"/>
      <w:r>
        <w:rPr>
          <w:rFonts w:ascii="arial" w:eastAsia="arial" w:hAnsi="arial" w:cs="arial"/>
          <w:b w:val="0"/>
          <w:i/>
          <w:strike w:val="0"/>
          <w:noProof w:val="0"/>
          <w:color w:val="000000"/>
          <w:position w:val="0"/>
          <w:sz w:val="20"/>
          <w:u w:val="none"/>
          <w:vertAlign w:val="baseline"/>
        </w:rPr>
        <w:t xml:space="preserve">See </w:t>
      </w:r>
      <w:bookmarkStart w:id="50" w:name="Bookmark_I5VGH71G28T4GV0050000400"/>
      <w:bookmarkEnd w:id="50"/>
      <w:hyperlink r:id="rId23" w:history="1">
        <w:r>
          <w:rPr>
            <w:rFonts w:ascii="arial" w:eastAsia="arial" w:hAnsi="arial" w:cs="arial"/>
            <w:b w:val="0"/>
            <w:i/>
            <w:strike w:val="0"/>
            <w:noProof w:val="0"/>
            <w:color w:val="0077CC"/>
            <w:position w:val="0"/>
            <w:sz w:val="20"/>
            <w:u w:val="single"/>
            <w:vertAlign w:val="baseline"/>
          </w:rPr>
          <w:t>United States v. Orozco</w:t>
        </w:r>
      </w:hyperlink>
      <w:hyperlink r:id="rId23" w:history="1">
        <w:r>
          <w:rPr>
            <w:rFonts w:ascii="arial" w:eastAsia="arial" w:hAnsi="arial" w:cs="arial"/>
            <w:b w:val="0"/>
            <w:i/>
            <w:strike w:val="0"/>
            <w:noProof w:val="0"/>
            <w:color w:val="0077CC"/>
            <w:position w:val="0"/>
            <w:sz w:val="20"/>
            <w:u w:val="single"/>
            <w:vertAlign w:val="baseline"/>
          </w:rPr>
          <w:t>, 191 F.3d 578, 582 (5th Cir. 1999)</w:t>
        </w:r>
      </w:hyperlink>
      <w:r>
        <w:rPr>
          <w:rFonts w:ascii="arial" w:eastAsia="arial" w:hAnsi="arial" w:cs="arial"/>
          <w:b w:val="0"/>
          <w:i w:val="0"/>
          <w:strike w:val="0"/>
          <w:noProof w:val="0"/>
          <w:color w:val="000000"/>
          <w:position w:val="0"/>
          <w:sz w:val="20"/>
          <w:u w:val="none"/>
          <w:vertAlign w:val="baseline"/>
        </w:rPr>
        <w:t xml:space="preserve">. </w:t>
      </w:r>
      <w:bookmarkStart w:id="51" w:name="Bookmark_I5VGH71G2N1RH00020000400"/>
      <w:bookmarkEnd w:id="51"/>
      <w:r>
        <w:rPr>
          <w:rFonts w:ascii="arial" w:eastAsia="arial" w:hAnsi="arial" w:cs="arial"/>
          <w:b w:val="0"/>
          <w:i w:val="0"/>
          <w:strike w:val="0"/>
          <w:noProof w:val="0"/>
          <w:color w:val="000000"/>
          <w:position w:val="0"/>
          <w:sz w:val="20"/>
          <w:u w:val="none"/>
          <w:vertAlign w:val="baseline"/>
        </w:rPr>
        <w:t>To the extent that Hinojosa challenges the district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court's factual findings on this point, the clearly erroneous standard is particularly deferential where, as herein, "denial of a suppression motion is based on live oral testimony." </w:t>
      </w:r>
      <w:bookmarkStart w:id="52" w:name="Bookmark_I5VGH71G2SF7JX0020000400"/>
      <w:bookmarkEnd w:id="52"/>
      <w:hyperlink r:id="rId24" w:history="1">
        <w:r>
          <w:rPr>
            <w:rFonts w:ascii="arial" w:eastAsia="arial" w:hAnsi="arial" w:cs="arial"/>
            <w:b w:val="0"/>
            <w:i/>
            <w:strike w:val="0"/>
            <w:noProof w:val="0"/>
            <w:color w:val="0077CC"/>
            <w:position w:val="0"/>
            <w:sz w:val="20"/>
            <w:u w:val="single"/>
            <w:vertAlign w:val="baseline"/>
          </w:rPr>
          <w:t>United States v. Gibbs</w:t>
        </w:r>
      </w:hyperlink>
      <w:hyperlink r:id="rId24" w:history="1">
        <w:r>
          <w:rPr>
            <w:rFonts w:ascii="arial" w:eastAsia="arial" w:hAnsi="arial" w:cs="arial"/>
            <w:b w:val="0"/>
            <w:i/>
            <w:strike w:val="0"/>
            <w:noProof w:val="0"/>
            <w:color w:val="0077CC"/>
            <w:position w:val="0"/>
            <w:sz w:val="20"/>
            <w:u w:val="single"/>
            <w:vertAlign w:val="baseline"/>
          </w:rPr>
          <w:t>, 421 F.3d 352, 357 (5th Cir. 2005)</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53" w:name="Bookmark_I5VGH71G2N1RH00020000400_2"/>
      <w:bookmarkEnd w:id="53"/>
      <w:bookmarkStart w:id="54" w:name="Bookmark_I5VGH71G2SF7JX0050000400_2"/>
      <w:bookmarkEnd w:id="54"/>
      <w:r>
        <w:rPr>
          <w:rFonts w:ascii="arial" w:eastAsia="arial" w:hAnsi="arial" w:cs="arial"/>
          <w:b w:val="0"/>
          <w:i w:val="0"/>
          <w:strike w:val="0"/>
          <w:noProof w:val="0"/>
          <w:color w:val="000000"/>
          <w:position w:val="0"/>
          <w:sz w:val="20"/>
          <w:u w:val="none"/>
          <w:vertAlign w:val="baseline"/>
        </w:rPr>
        <w:t xml:space="preserve">Moreover, as the finder of fact, the district court was "free to choose among reasonable constructions of the evidence." </w:t>
      </w:r>
      <w:bookmarkStart w:id="55" w:name="Bookmark_I5VGH71G2SF7JX0040000400"/>
      <w:bookmarkEnd w:id="55"/>
      <w:hyperlink r:id="rId25" w:history="1">
        <w:r>
          <w:rPr>
            <w:rFonts w:ascii="arial" w:eastAsia="arial" w:hAnsi="arial" w:cs="arial"/>
            <w:b w:val="0"/>
            <w:i/>
            <w:strike w:val="0"/>
            <w:noProof w:val="0"/>
            <w:color w:val="0077CC"/>
            <w:position w:val="0"/>
            <w:sz w:val="20"/>
            <w:u w:val="single"/>
            <w:vertAlign w:val="baseline"/>
          </w:rPr>
          <w:t>United States v. Alaniz-Alaniz</w:t>
        </w:r>
      </w:hyperlink>
      <w:hyperlink r:id="rId25" w:history="1">
        <w:r>
          <w:rPr>
            <w:rFonts w:ascii="arial" w:eastAsia="arial" w:hAnsi="arial" w:cs="arial"/>
            <w:b w:val="0"/>
            <w:i/>
            <w:strike w:val="0"/>
            <w:noProof w:val="0"/>
            <w:color w:val="0077CC"/>
            <w:position w:val="0"/>
            <w:sz w:val="20"/>
            <w:u w:val="single"/>
            <w:vertAlign w:val="baseline"/>
          </w:rPr>
          <w:t>, 38 F.3d 788, 792 (5th Cir. 1994)</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Further, while an innocent citizen may also drive a dirty car with handprints on the trunk, the characteristics of the vehicle, when combined with the heavy trunk area and the other factors observed by the agent, provided a "composite picture" sufficient to create reasonable suspicion in his mind. </w:t>
      </w:r>
      <w:bookmarkStart w:id="56" w:name="Bookmark_I5VGH71G2N1RH00010000400"/>
      <w:bookmarkEnd w:id="56"/>
      <w:hyperlink r:id="rId26" w:history="1">
        <w:r>
          <w:rPr>
            <w:rFonts w:ascii="arial" w:eastAsia="arial" w:hAnsi="arial" w:cs="arial"/>
            <w:b w:val="0"/>
            <w:i/>
            <w:strike w:val="0"/>
            <w:noProof w:val="0"/>
            <w:color w:val="0077CC"/>
            <w:position w:val="0"/>
            <w:sz w:val="20"/>
            <w:u w:val="single"/>
            <w:vertAlign w:val="baseline"/>
          </w:rPr>
          <w:t>United States v. Jacquinot</w:t>
        </w:r>
      </w:hyperlink>
      <w:hyperlink r:id="rId26" w:history="1">
        <w:r>
          <w:rPr>
            <w:rFonts w:ascii="arial" w:eastAsia="arial" w:hAnsi="arial" w:cs="arial"/>
            <w:b w:val="0"/>
            <w:i/>
            <w:strike w:val="0"/>
            <w:noProof w:val="0"/>
            <w:color w:val="0077CC"/>
            <w:position w:val="0"/>
            <w:sz w:val="20"/>
            <w:u w:val="single"/>
            <w:vertAlign w:val="baseline"/>
          </w:rPr>
          <w:t>, 258 F.3d 423, 427-28 (5th Cir.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9"/>
      <w:bookmarkEnd w:id="57"/>
      <w:r>
        <w:rPr>
          <w:rFonts w:ascii="arial" w:eastAsia="arial" w:hAnsi="arial" w:cs="arial"/>
          <w:b w:val="0"/>
          <w:i w:val="0"/>
          <w:strike w:val="0"/>
          <w:noProof w:val="0"/>
          <w:color w:val="000000"/>
          <w:position w:val="0"/>
          <w:sz w:val="20"/>
          <w:u w:val="none"/>
          <w:vertAlign w:val="baseline"/>
        </w:rPr>
        <w:t>Accordingly, the district court's denial of the motions to suppress is 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47.5.4</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Hinojosa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PWX-V4S1-F04F-C32R-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cases&amp;id=urn:contentItem:5BC7-KPY1-F04K-N3C4-00000-00&amp;context=1519360" TargetMode="External" /><Relationship Id="rId13" Type="http://schemas.openxmlformats.org/officeDocument/2006/relationships/hyperlink" Target="https://advance.lexis.com/api/document?collection=cases&amp;id=urn:contentItem:595S-0XF1-F04K-N004-00000-00&amp;context=1519360" TargetMode="External" /><Relationship Id="rId14" Type="http://schemas.openxmlformats.org/officeDocument/2006/relationships/hyperlink" Target="https://advance.lexis.com/api/document?collection=cases&amp;id=urn:contentItem:3S4X-BDV0-003B-S1TF-00000-00&amp;context=1519360" TargetMode="External" /><Relationship Id="rId15" Type="http://schemas.openxmlformats.org/officeDocument/2006/relationships/hyperlink" Target="https://advance.lexis.com/api/document?collection=cases&amp;id=urn:contentItem:82XB-1XC1-652R-322M-00000-00&amp;context=1519360" TargetMode="External" /><Relationship Id="rId16" Type="http://schemas.openxmlformats.org/officeDocument/2006/relationships/hyperlink" Target="https://advance.lexis.com/api/document?collection=cases&amp;id=urn:contentItem:4MX0-JTD0-0038-X3R2-00000-00&amp;context=1519360" TargetMode="External" /><Relationship Id="rId17" Type="http://schemas.openxmlformats.org/officeDocument/2006/relationships/hyperlink" Target="https://advance.lexis.com/api/document?collection=cases&amp;id=urn:contentItem:5KY3-BD41-F04K-N030-00000-00&amp;context=1519360" TargetMode="External" /><Relationship Id="rId18" Type="http://schemas.openxmlformats.org/officeDocument/2006/relationships/hyperlink" Target="https://advance.lexis.com/api/document?collection=cases&amp;id=urn:contentItem:3YMS-NDF0-0038-X1JX-00000-00&amp;context=1519360" TargetMode="External" /><Relationship Id="rId19" Type="http://schemas.openxmlformats.org/officeDocument/2006/relationships/hyperlink" Target="https://advance.lexis.com/api/document?collection=cases&amp;id=urn:contentItem:3YDW-G0S0-0038-X3K7-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XJG-T5N0-TXFX-72FN-00000-00&amp;context=1519360" TargetMode="External" /><Relationship Id="rId21" Type="http://schemas.openxmlformats.org/officeDocument/2006/relationships/hyperlink" Target="https://advance.lexis.com/api/document?collection=cases&amp;id=urn:contentItem:409B-CVT0-0038-X4SM-00000-00&amp;context=1519360" TargetMode="External" /><Relationship Id="rId22" Type="http://schemas.openxmlformats.org/officeDocument/2006/relationships/hyperlink" Target="https://advance.lexis.com/api/document?collection=cases&amp;id=urn:contentItem:7YY8-RKT1-652R-3001-00000-00&amp;context=1519360" TargetMode="External" /><Relationship Id="rId23" Type="http://schemas.openxmlformats.org/officeDocument/2006/relationships/hyperlink" Target="https://advance.lexis.com/api/document?collection=cases&amp;id=urn:contentItem:3XJK-F6N0-0038-X01S-00000-00&amp;context=1519360" TargetMode="External" /><Relationship Id="rId24" Type="http://schemas.openxmlformats.org/officeDocument/2006/relationships/hyperlink" Target="https://advance.lexis.com/api/document?collection=cases&amp;id=urn:contentItem:4GWK-XNX0-0038-X261-00000-00&amp;context=1519360" TargetMode="External" /><Relationship Id="rId25" Type="http://schemas.openxmlformats.org/officeDocument/2006/relationships/hyperlink" Target="https://advance.lexis.com/api/document?collection=cases&amp;id=urn:contentItem:3S4X-1500-003B-P199-00000-00&amp;context=1519360" TargetMode="External" /><Relationship Id="rId26" Type="http://schemas.openxmlformats.org/officeDocument/2006/relationships/hyperlink" Target="https://advance.lexis.com/api/document?collection=cases&amp;id=urn:contentItem:43J1-M2F0-0038-X1HJ-00000-00&amp;context=1519360"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VG2-8431-JSC5-M0B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Hinojosa, 753 Fed. Appx. 341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Doc::urn:hlct:5|contextualFeaturePermID::1519360</vt:lpwstr>
  </property>
  <property fmtid="{D5CDD505-2E9C-101B-9397-08002B2CF9AE}" pid="5" name="UserPermID">
    <vt:lpwstr>urn:user:PA186186298</vt:lpwstr>
  </property>
</Properties>
</file>