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Watson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18-40266 Summary Calendar</w:t>
      </w:r>
    </w:p>
    <w:p>
      <w:pPr>
        <w:keepNext w:val="0"/>
        <w:spacing w:after="0" w:line="240" w:lineRule="atLeast"/>
        <w:ind w:right="0"/>
        <w:jc w:val="both"/>
      </w:pPr>
      <w:bookmarkStart w:id="0" w:name="Bookmark_3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751 Fed. Appx. 592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U.S. App. LEXIS 3569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WL 458343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SHERINE OVANNA WATSON,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w:t>
      </w:r>
      <w:hyperlink r:id="rId10" w:history="1">
        <w:r>
          <w:rPr>
            <w:rFonts w:ascii="arial" w:eastAsia="arial" w:hAnsi="arial" w:cs="arial"/>
            <w:b w:val="0"/>
            <w:i/>
            <w:strike w:val="0"/>
            <w:noProof w:val="0"/>
            <w:color w:val="0077CC"/>
            <w:position w:val="0"/>
            <w:sz w:val="20"/>
            <w:u w:val="single"/>
            <w:vertAlign w:val="baseline"/>
          </w:rPr>
          <w:t>United States v. Minkah Ra Rashaad, 2019 U.S. App. LEXIS 18621 (5th Cir. Tex., June 21, 2019)</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5:17-CR-295-2.</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reasonable suspicion, </w:t>
      </w:r>
      <w:r>
        <w:rPr>
          <w:rFonts w:ascii="arial" w:eastAsia="arial" w:hAnsi="arial" w:cs="arial"/>
          <w:b/>
          <w:i/>
          <w:strike w:val="0"/>
          <w:noProof w:val="0"/>
          <w:color w:val="000000"/>
          <w:position w:val="0"/>
          <w:sz w:val="20"/>
          <w:u w:val="single"/>
          <w:vertAlign w:val="baseline"/>
        </w:rPr>
        <w:t>alien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tractor-trailer, signal, motion to suppress, traffic stop, circumstances, intersection, reliability, informant, stopping, turning, driver, traffic violation, factual findings, informant's tip, Investigations, corroborate, inception, predicted, minutes, detain, feet</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When reviewing the denial of a motion to suppress evidence, an appellate court reviews factual findings for clear error and the ultimate constitutionality of law enforcement action de novo.  In addition to deferring to the district court's factual findings, an appellate court must view the evidence in the light most favorable to the prevailing party.</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The legality of a traffic stop is analyzed under the two-tiered reasonable suspicion inquiry articulated in the Terry decision. It asks whether the officer's action was justified at its inception, and then whether the search or seizure was reasonably related in scope to the circumstances that justified the stop in the first place.</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For a traffic stop to be justified at its inception, an officer must have an objectively reasonable suspicion that some sort of illegal activity, such as a traffic violation, occurred, or is about to occur, before stopping the vehicle.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Traffic Regulation &gt; Turn Signals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Traffic Regulation, Turn Signals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 xml:space="preserve">Texas law requires a driver to signal continuously for not less than the last 100 feet of movement of the vehicle before the turn, even when the driver stops at an intersection before turning. </w:t>
      </w:r>
      <w:hyperlink r:id="rId16" w:history="1">
        <w:r>
          <w:rPr>
            <w:rFonts w:ascii="arial" w:eastAsia="arial" w:hAnsi="arial" w:cs="arial"/>
            <w:b w:val="0"/>
            <w:i/>
            <w:strike w:val="0"/>
            <w:noProof w:val="0"/>
            <w:color w:val="0077CC"/>
            <w:position w:val="0"/>
            <w:sz w:val="20"/>
            <w:u w:val="single"/>
            <w:vertAlign w:val="baseline"/>
          </w:rPr>
          <w:t>Tex. Transp. Code Ann. § 545.104(b)</w:t>
        </w:r>
      </w:hyperlink>
      <w:r>
        <w:rPr>
          <w:rFonts w:ascii="arial" w:eastAsia="arial" w:hAnsi="arial" w:cs="arial"/>
          <w:b w:val="0"/>
          <w:i w:val="0"/>
          <w:strike w:val="0"/>
          <w:noProof w:val="0"/>
          <w:color w:val="000000"/>
          <w:position w:val="0"/>
          <w:sz w:val="20"/>
          <w:u w:val="none"/>
          <w:vertAlign w:val="baseline"/>
        </w:rPr>
        <w:t>.</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An informant's tip can provide the basis for reasonable suspicion if it has sufficient indicia of reliability considering (1) the credibility and reliability of the informant, (2) the specificity of the information provided, (3) the extent to which the information can be verified by officers in the field, and (4) whether the tip concerns recent activity or has instead become stale.</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Anna Elizabeth Kalluri, Assistant U.S. Attorney,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SHERINE OVANNA WATSON, Defendant - Appellant: Jose Eduardo Pena, Law Offices of J. Eduardo Pena,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JOLLY, COSTA, and HO, Circuit Judges.</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2" w:name="Bookmark_para_3"/>
      <w:bookmarkEnd w:id="22"/>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Sherine Ovanna Watson entered a conditional guilty plea to conspiracy to transport undocumented aliens, reserving the right to appeal the denial of her motion to suppress. That motion challenged a traffic stop in which Homeland Security Investigations (HSI) agents discovered eight aliens hidden in the trailer of the tractor-trailer Watson was riding in as a passenger. She argues that the district court erred by denying her motion to suppress because (1) the driver's conduct in stopping at an intersection, signaling, and then turning did not violate Texas law, and (2) even if the initial stop was valid, the agents lacked reasonable suspicion to extend the stop for the purpose of conducting an investigation into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5"/>
      <w:bookmarkEnd w:id="25"/>
      <w:bookmarkStart w:id="26" w:name="Bookmark_I5VCRKDC2D6MTK0020000400"/>
      <w:bookmarkEnd w:id="26"/>
      <w:bookmarkStart w:id="27" w:name="Bookmark_I5VCRKDC2D6MTK0040000400"/>
      <w:bookmarkEnd w:id="27"/>
      <w:bookmarkStart w:id="28" w:name="Bookmark_LNHNREFclscc1"/>
      <w:bookmarkEnd w:id="28"/>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"When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reviewing the denial of a motion to suppress evidence, this Court reviews factual findings for clear error and the ultimate constitutionality of law enforcement action de novo." </w:t>
      </w:r>
      <w:bookmarkStart w:id="29" w:name="Bookmark_I5VCRKDC2D6MTK0010000400"/>
      <w:bookmarkEnd w:id="29"/>
      <w:hyperlink r:id="rId20" w:history="1">
        <w:r>
          <w:rPr>
            <w:rFonts w:ascii="arial" w:eastAsia="arial" w:hAnsi="arial" w:cs="arial"/>
            <w:b w:val="0"/>
            <w:i/>
            <w:strike w:val="0"/>
            <w:noProof w:val="0"/>
            <w:color w:val="0077CC"/>
            <w:position w:val="0"/>
            <w:sz w:val="20"/>
            <w:u w:val="single"/>
            <w:vertAlign w:val="baseline"/>
          </w:rPr>
          <w:t>United States v. Robinson</w:t>
        </w:r>
      </w:hyperlink>
      <w:hyperlink r:id="rId20" w:history="1">
        <w:r>
          <w:rPr>
            <w:rFonts w:ascii="arial" w:eastAsia="arial" w:hAnsi="arial" w:cs="arial"/>
            <w:b w:val="0"/>
            <w:i/>
            <w:strike w:val="0"/>
            <w:noProof w:val="0"/>
            <w:color w:val="0077CC"/>
            <w:position w:val="0"/>
            <w:sz w:val="20"/>
            <w:u w:val="single"/>
            <w:vertAlign w:val="baseline"/>
          </w:rPr>
          <w:t>, 741 F.3d 588, 594 (5th Cir. 2014)</w:t>
        </w:r>
      </w:hyperlink>
      <w:r>
        <w:rPr>
          <w:rFonts w:ascii="arial" w:eastAsia="arial" w:hAnsi="arial" w:cs="arial"/>
          <w:b w:val="0"/>
          <w:i w:val="0"/>
          <w:strike w:val="0"/>
          <w:noProof w:val="0"/>
          <w:color w:val="000000"/>
          <w:position w:val="0"/>
          <w:sz w:val="20"/>
          <w:u w:val="none"/>
          <w:vertAlign w:val="baseline"/>
        </w:rPr>
        <w:t xml:space="preserve">. In addition to deferring to the district court's factual findings, this court </w:t>
      </w:r>
      <w:r>
        <w:rPr>
          <w:rFonts w:ascii="arial" w:eastAsia="arial" w:hAnsi="arial" w:cs="arial"/>
          <w:b/>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must view the evidence in the light most favorable to the prevailing party, which in this case is the Government. </w:t>
      </w:r>
      <w:r>
        <w:rPr>
          <w:rFonts w:ascii="arial" w:eastAsia="arial" w:hAnsi="arial" w:cs="arial"/>
          <w:b w:val="0"/>
          <w:i/>
          <w:strike w:val="0"/>
          <w:noProof w:val="0"/>
          <w:color w:val="000000"/>
          <w:position w:val="0"/>
          <w:sz w:val="20"/>
          <w:u w:val="none"/>
          <w:vertAlign w:val="baseline"/>
        </w:rPr>
        <w:t xml:space="preserve">See </w:t>
      </w:r>
      <w:bookmarkStart w:id="30" w:name="Bookmark_I5VCRKDC2D6MTK0030000400"/>
      <w:bookmarkEnd w:id="30"/>
      <w:hyperlink r:id="rId21" w:history="1">
        <w:r>
          <w:rPr>
            <w:rFonts w:ascii="arial" w:eastAsia="arial" w:hAnsi="arial" w:cs="arial"/>
            <w:b w:val="0"/>
            <w:i/>
            <w:strike w:val="0"/>
            <w:noProof w:val="0"/>
            <w:color w:val="0077CC"/>
            <w:position w:val="0"/>
            <w:sz w:val="20"/>
            <w:u w:val="single"/>
            <w:vertAlign w:val="baseline"/>
          </w:rPr>
          <w:t>United States v. Pack</w:t>
        </w:r>
      </w:hyperlink>
      <w:hyperlink r:id="rId21" w:history="1">
        <w:r>
          <w:rPr>
            <w:rFonts w:ascii="arial" w:eastAsia="arial" w:hAnsi="arial" w:cs="arial"/>
            <w:b w:val="0"/>
            <w:i/>
            <w:strike w:val="0"/>
            <w:noProof w:val="0"/>
            <w:color w:val="0077CC"/>
            <w:position w:val="0"/>
            <w:sz w:val="20"/>
            <w:u w:val="single"/>
            <w:vertAlign w:val="baseline"/>
          </w:rPr>
          <w:t>, 612 F.3d 341, 347 (5th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 w:name="Bookmark_para_6"/>
      <w:bookmarkEnd w:id="31"/>
      <w:bookmarkStart w:id="32" w:name="Bookmark_I5VCRKDC2N1RVP0010000400"/>
      <w:bookmarkEnd w:id="32"/>
      <w:bookmarkStart w:id="33" w:name="Bookmark_I5VCRKDC2N1RVP0030000400"/>
      <w:bookmarkEnd w:id="33"/>
      <w:bookmarkStart w:id="34" w:name="Bookmark_LNHNREFclscc2"/>
      <w:bookmarkEnd w:id="34"/>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legality of a traffic stop is analyzed under the "two-tiered reasonable suspicion inquiry" articulated in </w:t>
      </w:r>
      <w:bookmarkStart w:id="35" w:name="Bookmark_I5VCRKDC2D6MTK0050000400"/>
      <w:bookmarkEnd w:id="35"/>
      <w:hyperlink r:id="rId23" w:history="1">
        <w:r>
          <w:rPr>
            <w:rFonts w:ascii="arial" w:eastAsia="arial" w:hAnsi="arial" w:cs="arial"/>
            <w:b w:val="0"/>
            <w:i/>
            <w:strike w:val="0"/>
            <w:noProof w:val="0"/>
            <w:color w:val="0077CC"/>
            <w:position w:val="0"/>
            <w:sz w:val="20"/>
            <w:u w:val="single"/>
            <w:vertAlign w:val="baseline"/>
          </w:rPr>
          <w:t>Terry v. Ohio</w:t>
        </w:r>
      </w:hyperlink>
      <w:hyperlink r:id="rId23"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It asks "whether the officer's action was justified at its inception," and then "whether the search or seizure was reasonably related in scope to the circumstances that justified the stop in the first place." </w:t>
      </w:r>
      <w:bookmarkStart w:id="36" w:name="Bookmark_I5VCRKDC2N1RVP0020000400"/>
      <w:bookmarkEnd w:id="36"/>
      <w:hyperlink r:id="rId24" w:history="1">
        <w:r>
          <w:rPr>
            <w:rFonts w:ascii="arial" w:eastAsia="arial" w:hAnsi="arial" w:cs="arial"/>
            <w:b w:val="0"/>
            <w:i/>
            <w:strike w:val="0"/>
            <w:noProof w:val="0"/>
            <w:color w:val="0077CC"/>
            <w:position w:val="0"/>
            <w:sz w:val="20"/>
            <w:u w:val="single"/>
            <w:vertAlign w:val="baseline"/>
          </w:rPr>
          <w:t>United States v. Grant</w:t>
        </w:r>
      </w:hyperlink>
      <w:hyperlink r:id="rId24" w:history="1">
        <w:r>
          <w:rPr>
            <w:rFonts w:ascii="arial" w:eastAsia="arial" w:hAnsi="arial" w:cs="arial"/>
            <w:b w:val="0"/>
            <w:i/>
            <w:strike w:val="0"/>
            <w:noProof w:val="0"/>
            <w:color w:val="0077CC"/>
            <w:position w:val="0"/>
            <w:sz w:val="20"/>
            <w:u w:val="single"/>
            <w:vertAlign w:val="baseline"/>
          </w:rPr>
          <w:t>, 349 F.3d 192, 196 (5th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7"/>
      <w:bookmarkEnd w:id="37"/>
      <w:bookmarkStart w:id="38" w:name="Bookmark_I5VCRKDC2N1RVP0050000400"/>
      <w:bookmarkEnd w:id="38"/>
      <w:bookmarkStart w:id="39" w:name="Bookmark_I5VCRKDC28T4VV0020000400"/>
      <w:bookmarkEnd w:id="39"/>
      <w:bookmarkStart w:id="40" w:name="Bookmark_LNHNREFclscc3"/>
      <w:bookmarkEnd w:id="40"/>
      <w:hyperlink r:id="rId2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"For a traffic stop to be justified at its inception, an officer must have an objectively reasonable suspicion that some sort of illegal activity, such as a traffic violation, occurred, or is about to occur, before stopping the vehicle." </w:t>
      </w:r>
      <w:bookmarkStart w:id="41" w:name="Bookmark_I5VCRKDC2N1RVP0040000400"/>
      <w:bookmarkEnd w:id="41"/>
      <w:hyperlink r:id="rId26" w:history="1">
        <w:r>
          <w:rPr>
            <w:rFonts w:ascii="arial" w:eastAsia="arial" w:hAnsi="arial" w:cs="arial"/>
            <w:b w:val="0"/>
            <w:i/>
            <w:strike w:val="0"/>
            <w:noProof w:val="0"/>
            <w:color w:val="0077CC"/>
            <w:position w:val="0"/>
            <w:sz w:val="20"/>
            <w:u w:val="single"/>
            <w:vertAlign w:val="baseline"/>
          </w:rPr>
          <w:t>United States v. Lopez-Moreno</w:t>
        </w:r>
      </w:hyperlink>
      <w:hyperlink r:id="rId26" w:history="1">
        <w:r>
          <w:rPr>
            <w:rFonts w:ascii="arial" w:eastAsia="arial" w:hAnsi="arial" w:cs="arial"/>
            <w:b w:val="0"/>
            <w:i/>
            <w:strike w:val="0"/>
            <w:noProof w:val="0"/>
            <w:color w:val="0077CC"/>
            <w:position w:val="0"/>
            <w:sz w:val="20"/>
            <w:u w:val="single"/>
            <w:vertAlign w:val="baseline"/>
          </w:rPr>
          <w:t>, 420 F.3d 420, 430 (5th Cir. 2005)</w:t>
        </w:r>
      </w:hyperlink>
      <w:r>
        <w:rPr>
          <w:rFonts w:ascii="arial" w:eastAsia="arial" w:hAnsi="arial" w:cs="arial"/>
          <w:b w:val="0"/>
          <w:i w:val="0"/>
          <w:strike w:val="0"/>
          <w:noProof w:val="0"/>
          <w:color w:val="000000"/>
          <w:position w:val="0"/>
          <w:sz w:val="20"/>
          <w:u w:val="none"/>
          <w:vertAlign w:val="baseline"/>
        </w:rPr>
        <w:t xml:space="preserve">. </w:t>
      </w:r>
      <w:bookmarkStart w:id="42" w:name="Bookmark_LNHNREFclscc4"/>
      <w:bookmarkEnd w:id="42"/>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Texas law requires a driver to "signal continuously for not less than the last 100 feet of movement of the vehicle before the turn," even when the driver stops at an intersection before turning. </w:t>
      </w:r>
      <w:bookmarkStart w:id="43" w:name="Bookmark_I5VCRKDC2N1RVR0010000400"/>
      <w:bookmarkEnd w:id="43"/>
      <w:hyperlink r:id="rId16" w:history="1">
        <w:r>
          <w:rPr>
            <w:rFonts w:ascii="arial" w:eastAsia="arial" w:hAnsi="arial" w:cs="arial"/>
            <w:b w:val="0"/>
            <w:i/>
            <w:strike w:val="0"/>
            <w:noProof w:val="0"/>
            <w:color w:val="0077CC"/>
            <w:position w:val="0"/>
            <w:sz w:val="20"/>
            <w:u w:val="single"/>
            <w:vertAlign w:val="baseline"/>
          </w:rPr>
          <w:t>Tex. Transp. Code Ann.</w:t>
        </w:r>
      </w:hyperlink>
      <w:hyperlink r:id="rId16" w:history="1">
        <w:r>
          <w:rPr>
            <w:rFonts w:ascii="arial" w:eastAsia="arial" w:hAnsi="arial" w:cs="arial"/>
            <w:b w:val="0"/>
            <w:i/>
            <w:strike w:val="0"/>
            <w:noProof w:val="0"/>
            <w:color w:val="0077CC"/>
            <w:position w:val="0"/>
            <w:sz w:val="20"/>
            <w:u w:val="single"/>
            <w:vertAlign w:val="baseline"/>
          </w:rPr>
          <w:t xml:space="preserve"> § 545.104(b)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4" w:name="Bookmark_I5VCRKDC28T4VV0010000400"/>
      <w:bookmarkEnd w:id="44"/>
      <w:hyperlink r:id="rId28" w:history="1">
        <w:r>
          <w:rPr>
            <w:rFonts w:ascii="arial" w:eastAsia="arial" w:hAnsi="arial" w:cs="arial"/>
            <w:b w:val="0"/>
            <w:i/>
            <w:strike w:val="0"/>
            <w:noProof w:val="0"/>
            <w:color w:val="0077CC"/>
            <w:position w:val="0"/>
            <w:sz w:val="20"/>
            <w:u w:val="single"/>
            <w:vertAlign w:val="baseline"/>
          </w:rPr>
          <w:t>State v. Elias</w:t>
        </w:r>
      </w:hyperlink>
      <w:hyperlink r:id="rId28" w:history="1">
        <w:r>
          <w:rPr>
            <w:rFonts w:ascii="arial" w:eastAsia="arial" w:hAnsi="arial" w:cs="arial"/>
            <w:b w:val="0"/>
            <w:i/>
            <w:strike w:val="0"/>
            <w:noProof w:val="0"/>
            <w:color w:val="0077CC"/>
            <w:position w:val="0"/>
            <w:sz w:val="20"/>
            <w:u w:val="single"/>
            <w:vertAlign w:val="baseline"/>
          </w:rPr>
          <w:t>, 339 S.W.3d 667, 675 (Tex. Crim. App.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5" w:name="Bookmark_I5VCRKDC28T4VV0030000400"/>
      <w:bookmarkEnd w:id="45"/>
      <w:hyperlink r:id="rId29" w:history="1">
        <w:r>
          <w:rPr>
            <w:rFonts w:ascii="arial" w:eastAsia="arial" w:hAnsi="arial" w:cs="arial"/>
            <w:b w:val="0"/>
            <w:i/>
            <w:strike w:val="0"/>
            <w:noProof w:val="0"/>
            <w:color w:val="0077CC"/>
            <w:position w:val="0"/>
            <w:sz w:val="20"/>
            <w:u w:val="single"/>
            <w:vertAlign w:val="baseline"/>
          </w:rPr>
          <w:t>State v. Losoya</w:t>
        </w:r>
      </w:hyperlink>
      <w:hyperlink r:id="rId29" w:history="1">
        <w:r>
          <w:rPr>
            <w:rFonts w:ascii="arial" w:eastAsia="arial" w:hAnsi="arial" w:cs="arial"/>
            <w:b w:val="0"/>
            <w:i/>
            <w:strike w:val="0"/>
            <w:noProof w:val="0"/>
            <w:color w:val="0077CC"/>
            <w:position w:val="0"/>
            <w:sz w:val="20"/>
            <w:u w:val="single"/>
            <w:vertAlign w:val="baseline"/>
          </w:rPr>
          <w:t>, No. 04-15-00017-CR, 2015 Tex. App. LEXIS 13012, 2015 WL 9594721, *2 (Tex. App. Dec. 30, 2015)</w:t>
        </w:r>
      </w:hyperlink>
      <w:r>
        <w:rPr>
          <w:rFonts w:ascii="arial" w:eastAsia="arial" w:hAnsi="arial" w:cs="arial"/>
          <w:b w:val="0"/>
          <w:i w:val="0"/>
          <w:strike w:val="0"/>
          <w:noProof w:val="0"/>
          <w:color w:val="000000"/>
          <w:position w:val="0"/>
          <w:sz w:val="20"/>
          <w:u w:val="none"/>
          <w:vertAlign w:val="baseline"/>
        </w:rPr>
        <w:t xml:space="preserve">. </w:t>
      </w:r>
      <w:bookmarkStart w:id="46" w:name="Bookmark_I5VCRKDC2N1RVR0010000400_2"/>
      <w:bookmarkEnd w:id="46"/>
      <w:r>
        <w:rPr>
          <w:rFonts w:ascii="arial" w:eastAsia="arial" w:hAnsi="arial" w:cs="arial"/>
          <w:b w:val="0"/>
          <w:i w:val="0"/>
          <w:strike w:val="0"/>
          <w:noProof w:val="0"/>
          <w:color w:val="000000"/>
          <w:position w:val="0"/>
          <w:sz w:val="20"/>
          <w:u w:val="none"/>
          <w:vertAlign w:val="baseline"/>
        </w:rPr>
        <w:t>Because the police officer saw Watson's vehicle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stop within 100 feet of an intersection without signaling and only then signal before turning, he had reasonable suspicion to believe a traffic violation occurred. </w:t>
      </w:r>
      <w:r>
        <w:rPr>
          <w:rFonts w:ascii="arial" w:eastAsia="arial" w:hAnsi="arial" w:cs="arial"/>
          <w:b w:val="0"/>
          <w:i/>
          <w:strike w:val="0"/>
          <w:noProof w:val="0"/>
          <w:color w:val="000000"/>
          <w:position w:val="0"/>
          <w:sz w:val="20"/>
          <w:u w:val="none"/>
          <w:vertAlign w:val="baseline"/>
        </w:rPr>
        <w:t xml:space="preserve">See </w:t>
      </w:r>
      <w:bookmarkStart w:id="47" w:name="Bookmark_I5VCRKDC28T4VV0050000400"/>
      <w:bookmarkEnd w:id="47"/>
      <w:hyperlink r:id="rId26" w:history="1">
        <w:r>
          <w:rPr>
            <w:rFonts w:ascii="arial" w:eastAsia="arial" w:hAnsi="arial" w:cs="arial"/>
            <w:b w:val="0"/>
            <w:i/>
            <w:strike w:val="0"/>
            <w:noProof w:val="0"/>
            <w:color w:val="0077CC"/>
            <w:position w:val="0"/>
            <w:sz w:val="20"/>
            <w:u w:val="single"/>
            <w:vertAlign w:val="baseline"/>
          </w:rPr>
          <w:t>Lopez-Moreno</w:t>
        </w:r>
      </w:hyperlink>
      <w:hyperlink r:id="rId26" w:history="1">
        <w:r>
          <w:rPr>
            <w:rFonts w:ascii="arial" w:eastAsia="arial" w:hAnsi="arial" w:cs="arial"/>
            <w:b w:val="0"/>
            <w:i/>
            <w:strike w:val="0"/>
            <w:noProof w:val="0"/>
            <w:color w:val="0077CC"/>
            <w:position w:val="0"/>
            <w:sz w:val="20"/>
            <w:u w:val="single"/>
            <w:vertAlign w:val="baseline"/>
          </w:rPr>
          <w:t>, 420 F.3d at 430</w:t>
        </w:r>
      </w:hyperlink>
      <w:r>
        <w:rPr>
          <w:rFonts w:ascii="arial" w:eastAsia="arial" w:hAnsi="arial" w:cs="arial"/>
          <w:b w:val="0"/>
          <w:i w:val="0"/>
          <w:strike w:val="0"/>
          <w:noProof w:val="0"/>
          <w:color w:val="000000"/>
          <w:position w:val="0"/>
          <w:sz w:val="20"/>
          <w:u w:val="none"/>
          <w:vertAlign w:val="baseline"/>
        </w:rPr>
        <w:t xml:space="preserve">; </w:t>
      </w:r>
      <w:bookmarkStart w:id="48" w:name="Bookmark_I5VCRKDC2N1RVR0020000400"/>
      <w:bookmarkEnd w:id="48"/>
      <w:hyperlink r:id="rId28" w:history="1">
        <w:r>
          <w:rPr>
            <w:rFonts w:ascii="arial" w:eastAsia="arial" w:hAnsi="arial" w:cs="arial"/>
            <w:b w:val="0"/>
            <w:i/>
            <w:strike w:val="0"/>
            <w:noProof w:val="0"/>
            <w:color w:val="0077CC"/>
            <w:position w:val="0"/>
            <w:sz w:val="20"/>
            <w:u w:val="single"/>
            <w:vertAlign w:val="baseline"/>
          </w:rPr>
          <w:t>Elias</w:t>
        </w:r>
      </w:hyperlink>
      <w:hyperlink r:id="rId28" w:history="1">
        <w:r>
          <w:rPr>
            <w:rFonts w:ascii="arial" w:eastAsia="arial" w:hAnsi="arial" w:cs="arial"/>
            <w:b w:val="0"/>
            <w:i/>
            <w:strike w:val="0"/>
            <w:noProof w:val="0"/>
            <w:color w:val="0077CC"/>
            <w:position w:val="0"/>
            <w:sz w:val="20"/>
            <w:u w:val="single"/>
            <w:vertAlign w:val="baseline"/>
          </w:rPr>
          <w:t>, 339 S.W.3d at 675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8"/>
      <w:bookmarkEnd w:id="49"/>
      <w:bookmarkStart w:id="50" w:name="Bookmark_I5VCRKDC2N1RVR0050000400"/>
      <w:bookmarkEnd w:id="50"/>
      <w:bookmarkStart w:id="51" w:name="Bookmark_I5VCRKDC2SF7XW0020000400"/>
      <w:bookmarkEnd w:id="51"/>
      <w:r>
        <w:rPr>
          <w:rFonts w:ascii="arial" w:eastAsia="arial" w:hAnsi="arial" w:cs="arial"/>
          <w:b w:val="0"/>
          <w:i w:val="0"/>
          <w:strike w:val="0"/>
          <w:noProof w:val="0"/>
          <w:color w:val="000000"/>
          <w:position w:val="0"/>
          <w:sz w:val="20"/>
          <w:u w:val="none"/>
          <w:vertAlign w:val="baseline"/>
        </w:rPr>
        <w:t xml:space="preserve">Next, we must look to the totality of the circumstances to determine whether reasonable suspicion existed to detain Watson for an investigation into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that culminated in a canine alerting to the presence of concealed persons about 30 minutes after the stop. </w:t>
      </w:r>
      <w:r>
        <w:rPr>
          <w:rFonts w:ascii="arial" w:eastAsia="arial" w:hAnsi="arial" w:cs="arial"/>
          <w:b w:val="0"/>
          <w:i/>
          <w:strike w:val="0"/>
          <w:noProof w:val="0"/>
          <w:color w:val="000000"/>
          <w:position w:val="0"/>
          <w:sz w:val="20"/>
          <w:u w:val="none"/>
          <w:vertAlign w:val="baseline"/>
        </w:rPr>
        <w:t xml:space="preserve">See </w:t>
      </w:r>
      <w:bookmarkStart w:id="52" w:name="Bookmark_I5VCRKDC2N1RVR0040000400"/>
      <w:bookmarkEnd w:id="52"/>
      <w:hyperlink r:id="rId30" w:history="1">
        <w:r>
          <w:rPr>
            <w:rFonts w:ascii="arial" w:eastAsia="arial" w:hAnsi="arial" w:cs="arial"/>
            <w:b w:val="0"/>
            <w:i/>
            <w:strike w:val="0"/>
            <w:noProof w:val="0"/>
            <w:color w:val="0077CC"/>
            <w:position w:val="0"/>
            <w:sz w:val="20"/>
            <w:u w:val="single"/>
            <w:vertAlign w:val="baseline"/>
          </w:rPr>
          <w:t>United States v. Arvizu</w:t>
        </w:r>
      </w:hyperlink>
      <w:hyperlink r:id="rId30"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53" w:name="Bookmark_LNHNREFclscc5"/>
      <w:bookmarkEnd w:id="53"/>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An informant's tip can provide the basis for reasonable suspicion if it has sufficient indicia of reliability considering (1) the credibility and reliability of the informant, (2) the specificity of the information provided, (3) the extent to which the information can be verified by officers in the field, and (4) whether the tip concerns recent activity or has instead become stale. </w:t>
      </w:r>
      <w:bookmarkStart w:id="54" w:name="Bookmark_I5VCRKDC2SF7XW0010000400"/>
      <w:bookmarkEnd w:id="54"/>
      <w:hyperlink r:id="rId32" w:history="1">
        <w:r>
          <w:rPr>
            <w:rFonts w:ascii="arial" w:eastAsia="arial" w:hAnsi="arial" w:cs="arial"/>
            <w:b w:val="0"/>
            <w:i/>
            <w:strike w:val="0"/>
            <w:noProof w:val="0"/>
            <w:color w:val="0077CC"/>
            <w:position w:val="0"/>
            <w:sz w:val="20"/>
            <w:u w:val="single"/>
            <w:vertAlign w:val="baseline"/>
          </w:rPr>
          <w:t>United States v. Martinez</w:t>
        </w:r>
      </w:hyperlink>
      <w:hyperlink r:id="rId32" w:history="1">
        <w:r>
          <w:rPr>
            <w:rFonts w:ascii="arial" w:eastAsia="arial" w:hAnsi="arial" w:cs="arial"/>
            <w:b w:val="0"/>
            <w:i/>
            <w:strike w:val="0"/>
            <w:noProof w:val="0"/>
            <w:color w:val="0077CC"/>
            <w:position w:val="0"/>
            <w:sz w:val="20"/>
            <w:u w:val="single"/>
            <w:vertAlign w:val="baseline"/>
          </w:rPr>
          <w:t>, 486 F.3d 855, 861, 863 (5th Cir. 2007)</w:t>
        </w:r>
      </w:hyperlink>
      <w:r>
        <w:rPr>
          <w:rFonts w:ascii="arial" w:eastAsia="arial" w:hAnsi="arial" w:cs="arial"/>
          <w:b w:val="0"/>
          <w:i w:val="0"/>
          <w:strike w:val="0"/>
          <w:noProof w:val="0"/>
          <w:color w:val="000000"/>
          <w:position w:val="0"/>
          <w:sz w:val="20"/>
          <w:u w:val="none"/>
          <w:vertAlign w:val="baseline"/>
        </w:rPr>
        <w:t xml:space="preserve">. In this case, an informant provided HSI agents with information about the color, owner, and expected location of the tractor-trailer, and accurately predicted its movements as well as those of other vehicles involved in the smuggling. </w:t>
      </w:r>
      <w:bookmarkStart w:id="55" w:name="Bookmark_I5VCRKDC2SF7XW0040000400"/>
      <w:bookmarkEnd w:id="55"/>
      <w:r>
        <w:rPr>
          <w:rFonts w:ascii="arial" w:eastAsia="arial" w:hAnsi="arial" w:cs="arial"/>
          <w:b w:val="0"/>
          <w:i w:val="0"/>
          <w:strike w:val="0"/>
          <w:noProof w:val="0"/>
          <w:color w:val="000000"/>
          <w:position w:val="0"/>
          <w:sz w:val="20"/>
          <w:u w:val="none"/>
          <w:vertAlign w:val="baseline"/>
        </w:rPr>
        <w:t>The informant provided some of this information minutes before it happened, and agents in the field were able to corroborate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information as events occurred. Therefore, after corroborating the informant's predictions, the agents could reasonably believe that the informant's tip about the tractor-trailer smuggling aliens was also reliable. </w:t>
      </w:r>
      <w:bookmarkStart w:id="56" w:name="Bookmark_I5VCRKDC2SF7XX0010000400"/>
      <w:bookmarkEnd w:id="56"/>
      <w:r>
        <w:rPr>
          <w:rFonts w:ascii="arial" w:eastAsia="arial" w:hAnsi="arial" w:cs="arial"/>
          <w:b w:val="0"/>
          <w:i/>
          <w:strike w:val="0"/>
          <w:noProof w:val="0"/>
          <w:color w:val="000000"/>
          <w:position w:val="0"/>
          <w:sz w:val="20"/>
          <w:u w:val="none"/>
          <w:vertAlign w:val="baseline"/>
        </w:rPr>
        <w:t xml:space="preserve">See </w:t>
      </w:r>
      <w:bookmarkStart w:id="57" w:name="Bookmark_I5VCRKDC2SF7XW0030000400"/>
      <w:bookmarkEnd w:id="57"/>
      <w:hyperlink r:id="rId33" w:history="1">
        <w:r>
          <w:rPr>
            <w:rFonts w:ascii="arial" w:eastAsia="arial" w:hAnsi="arial" w:cs="arial"/>
            <w:b w:val="0"/>
            <w:i/>
            <w:strike w:val="0"/>
            <w:noProof w:val="0"/>
            <w:color w:val="0077CC"/>
            <w:position w:val="0"/>
            <w:sz w:val="20"/>
            <w:u w:val="single"/>
            <w:vertAlign w:val="baseline"/>
          </w:rPr>
          <w:t>Alabama v. White</w:t>
        </w:r>
      </w:hyperlink>
      <w:hyperlink r:id="rId33" w:history="1">
        <w:r>
          <w:rPr>
            <w:rFonts w:ascii="arial" w:eastAsia="arial" w:hAnsi="arial" w:cs="arial"/>
            <w:b w:val="0"/>
            <w:i/>
            <w:strike w:val="0"/>
            <w:noProof w:val="0"/>
            <w:color w:val="0077CC"/>
            <w:position w:val="0"/>
            <w:sz w:val="20"/>
            <w:u w:val="single"/>
            <w:vertAlign w:val="baseline"/>
          </w:rPr>
          <w:t>, 496 U.S. 325, 332, 110 S. Ct. 2412, 110 L. Ed. 2d 301 (1990)</w:t>
        </w:r>
      </w:hyperlink>
      <w:r>
        <w:rPr>
          <w:rFonts w:ascii="arial" w:eastAsia="arial" w:hAnsi="arial" w:cs="arial"/>
          <w:b w:val="0"/>
          <w:i w:val="0"/>
          <w:strike w:val="0"/>
          <w:noProof w:val="0"/>
          <w:color w:val="000000"/>
          <w:position w:val="0"/>
          <w:sz w:val="20"/>
          <w:u w:val="none"/>
          <w:vertAlign w:val="baseline"/>
        </w:rPr>
        <w:t xml:space="preserve">. </w:t>
      </w:r>
      <w:bookmarkStart w:id="58" w:name="Bookmark_I5VCRKDC2SF7XX0010000400_2"/>
      <w:bookmarkEnd w:id="58"/>
      <w:bookmarkStart w:id="59" w:name="Bookmark_I5VCRKDC2SF7XX0030000400"/>
      <w:bookmarkEnd w:id="59"/>
      <w:r>
        <w:rPr>
          <w:rFonts w:ascii="arial" w:eastAsia="arial" w:hAnsi="arial" w:cs="arial"/>
          <w:b w:val="0"/>
          <w:i w:val="0"/>
          <w:strike w:val="0"/>
          <w:noProof w:val="0"/>
          <w:color w:val="000000"/>
          <w:position w:val="0"/>
          <w:sz w:val="20"/>
          <w:u w:val="none"/>
          <w:vertAlign w:val="baseline"/>
        </w:rPr>
        <w:t xml:space="preserve">In addition, Agent Robinson was a seasoned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investigator, and her inferences that the vehicles' movements were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(some vehicles were circling the tractor-trailer which indicates they were scouting), are entitled to due weight. </w:t>
      </w:r>
      <w:r>
        <w:rPr>
          <w:rFonts w:ascii="arial" w:eastAsia="arial" w:hAnsi="arial" w:cs="arial"/>
          <w:b w:val="0"/>
          <w:i/>
          <w:strike w:val="0"/>
          <w:noProof w:val="0"/>
          <w:color w:val="000000"/>
          <w:position w:val="0"/>
          <w:sz w:val="20"/>
          <w:u w:val="none"/>
          <w:vertAlign w:val="baseline"/>
        </w:rPr>
        <w:t xml:space="preserve">See </w:t>
      </w:r>
      <w:bookmarkStart w:id="60" w:name="Bookmark_I5VCRKDC2SF7XW0050000400"/>
      <w:bookmarkEnd w:id="60"/>
      <w:hyperlink r:id="rId30" w:history="1">
        <w:r>
          <w:rPr>
            <w:rFonts w:ascii="arial" w:eastAsia="arial" w:hAnsi="arial" w:cs="arial"/>
            <w:b w:val="0"/>
            <w:i/>
            <w:strike w:val="0"/>
            <w:noProof w:val="0"/>
            <w:color w:val="0077CC"/>
            <w:position w:val="0"/>
            <w:sz w:val="20"/>
            <w:u w:val="single"/>
            <w:vertAlign w:val="baseline"/>
          </w:rPr>
          <w:t>Arvizu</w:t>
        </w:r>
      </w:hyperlink>
      <w:hyperlink r:id="rId30" w:history="1">
        <w:r>
          <w:rPr>
            <w:rFonts w:ascii="arial" w:eastAsia="arial" w:hAnsi="arial" w:cs="arial"/>
            <w:b w:val="0"/>
            <w:i/>
            <w:strike w:val="0"/>
            <w:noProof w:val="0"/>
            <w:color w:val="0077CC"/>
            <w:position w:val="0"/>
            <w:sz w:val="20"/>
            <w:u w:val="single"/>
            <w:vertAlign w:val="baseline"/>
          </w:rPr>
          <w:t>, 534 U.S. at 273-74</w:t>
        </w:r>
      </w:hyperlink>
      <w:r>
        <w:rPr>
          <w:rFonts w:ascii="arial" w:eastAsia="arial" w:hAnsi="arial" w:cs="arial"/>
          <w:b w:val="0"/>
          <w:i w:val="0"/>
          <w:strike w:val="0"/>
          <w:noProof w:val="0"/>
          <w:color w:val="000000"/>
          <w:position w:val="0"/>
          <w:sz w:val="20"/>
          <w:u w:val="none"/>
          <w:vertAlign w:val="baseline"/>
        </w:rPr>
        <w:t xml:space="preserve">. </w:t>
      </w:r>
      <w:bookmarkStart w:id="61" w:name="Bookmark_I5VCRKDC2SF7XX0030000400_2"/>
      <w:bookmarkEnd w:id="61"/>
      <w:bookmarkStart w:id="62" w:name="Bookmark_I5VCRKDC2SF7XX0050000400"/>
      <w:bookmarkEnd w:id="62"/>
      <w:r>
        <w:rPr>
          <w:rFonts w:ascii="arial" w:eastAsia="arial" w:hAnsi="arial" w:cs="arial"/>
          <w:b w:val="0"/>
          <w:i w:val="0"/>
          <w:strike w:val="0"/>
          <w:noProof w:val="0"/>
          <w:color w:val="000000"/>
          <w:position w:val="0"/>
          <w:sz w:val="20"/>
          <w:u w:val="none"/>
          <w:vertAlign w:val="baseline"/>
        </w:rPr>
        <w:t xml:space="preserve">Finally, Watson's assertion that Agent Robinson's "observations of conduct that is equally consistent with non-criminal activity" cannot support reasonable suspicion is unavailing, as behavior that otherwise appears innocent "may provide a composite picture sufficient to raise reasonable suspicion in the minds of experienced officers." </w:t>
      </w:r>
      <w:bookmarkStart w:id="63" w:name="Bookmark_I5VCRKDC2SF7XX0020000400"/>
      <w:bookmarkEnd w:id="63"/>
      <w:hyperlink r:id="rId34" w:history="1">
        <w:r>
          <w:rPr>
            <w:rFonts w:ascii="arial" w:eastAsia="arial" w:hAnsi="arial" w:cs="arial"/>
            <w:b w:val="0"/>
            <w:i/>
            <w:strike w:val="0"/>
            <w:noProof w:val="0"/>
            <w:color w:val="0077CC"/>
            <w:position w:val="0"/>
            <w:sz w:val="20"/>
            <w:u w:val="single"/>
            <w:vertAlign w:val="baseline"/>
          </w:rPr>
          <w:t>United States v. Cervantes</w:t>
        </w:r>
      </w:hyperlink>
      <w:hyperlink r:id="rId34" w:history="1">
        <w:r>
          <w:rPr>
            <w:rFonts w:ascii="arial" w:eastAsia="arial" w:hAnsi="arial" w:cs="arial"/>
            <w:b w:val="0"/>
            <w:i/>
            <w:strike w:val="0"/>
            <w:noProof w:val="0"/>
            <w:color w:val="0077CC"/>
            <w:position w:val="0"/>
            <w:sz w:val="20"/>
            <w:u w:val="single"/>
            <w:vertAlign w:val="baseline"/>
          </w:rPr>
          <w:t>, 797 F.3d 326, 329 (5th Cir. 2015)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64" w:name="Bookmark_I5VCRKDC2SF7XX0050000400_2"/>
      <w:bookmarkEnd w:id="64"/>
      <w:r>
        <w:rPr>
          <w:rFonts w:ascii="arial" w:eastAsia="arial" w:hAnsi="arial" w:cs="arial"/>
          <w:b w:val="0"/>
          <w:i w:val="0"/>
          <w:strike w:val="0"/>
          <w:noProof w:val="0"/>
          <w:color w:val="000000"/>
          <w:position w:val="0"/>
          <w:sz w:val="20"/>
          <w:u w:val="none"/>
          <w:vertAlign w:val="baseline"/>
        </w:rPr>
        <w:t xml:space="preserve">Considering all the circumstances, </w:t>
      </w:r>
      <w:r>
        <w:rPr>
          <w:rFonts w:ascii="arial" w:eastAsia="arial" w:hAnsi="arial" w:cs="arial"/>
          <w:b/>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the agents had reasonable suspicion to detain Watson. </w:t>
      </w:r>
      <w:r>
        <w:rPr>
          <w:rFonts w:ascii="arial" w:eastAsia="arial" w:hAnsi="arial" w:cs="arial"/>
          <w:b w:val="0"/>
          <w:i/>
          <w:strike w:val="0"/>
          <w:noProof w:val="0"/>
          <w:color w:val="000000"/>
          <w:position w:val="0"/>
          <w:sz w:val="20"/>
          <w:u w:val="none"/>
          <w:vertAlign w:val="baseline"/>
        </w:rPr>
        <w:t xml:space="preserve">See </w:t>
      </w:r>
      <w:bookmarkStart w:id="65" w:name="Bookmark_I5VCRKDC2SF7XX0040000400"/>
      <w:bookmarkEnd w:id="65"/>
      <w:hyperlink r:id="rId30" w:history="1">
        <w:r>
          <w:rPr>
            <w:rFonts w:ascii="arial" w:eastAsia="arial" w:hAnsi="arial" w:cs="arial"/>
            <w:b w:val="0"/>
            <w:i/>
            <w:strike w:val="0"/>
            <w:noProof w:val="0"/>
            <w:color w:val="0077CC"/>
            <w:position w:val="0"/>
            <w:sz w:val="20"/>
            <w:u w:val="single"/>
            <w:vertAlign w:val="baseline"/>
          </w:rPr>
          <w:t>Arvizu</w:t>
        </w:r>
      </w:hyperlink>
      <w:hyperlink r:id="rId30"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9"/>
      <w:bookmarkEnd w:id="66"/>
      <w:r>
        <w:rPr>
          <w:rFonts w:ascii="arial" w:eastAsia="arial" w:hAnsi="arial" w:cs="arial"/>
          <w:b w:val="0"/>
          <w:i w:val="0"/>
          <w:strike w:val="0"/>
          <w:noProof w:val="0"/>
          <w:color w:val="000000"/>
          <w:position w:val="0"/>
          <w:sz w:val="20"/>
          <w:u w:val="none"/>
          <w:vertAlign w:val="baseline"/>
        </w:rPr>
        <w:t>The district court's denial of Watson's motion to suppress is AFFIRMED.</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3" w:name="Bookmark_fnpara_1"/>
      <w:bookmarkEnd w:id="23"/>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 R.</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Watson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WCY-HD81-FC1F-M0TC-00000-00&amp;context=1519360" TargetMode="External" /><Relationship Id="rId11" Type="http://schemas.openxmlformats.org/officeDocument/2006/relationships/hyperlink" Target="https://advance.lexis.com/api/document?collection=cases&amp;id=urn:contentItem:5VC2-PP31-FJM6-601G-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5VC2-PP31-FJM6-601G-00000-00&amp;context=1519360&amp;link=LNHNREFclscc2" TargetMode="External" /><Relationship Id="rId14" Type="http://schemas.openxmlformats.org/officeDocument/2006/relationships/hyperlink" Target="https://advance.lexis.com/api/document?collection=cases&amp;id=urn:contentItem:5VC2-PP31-FJM6-601G-00000-00&amp;context=1519360&amp;link=LNHNREFclscc3" TargetMode="External" /><Relationship Id="rId15" Type="http://schemas.openxmlformats.org/officeDocument/2006/relationships/hyperlink" Target="https://advance.lexis.com/api/document?collection=cases&amp;id=urn:contentItem:5VC2-PP31-FJM6-601G-00000-00&amp;context=1519360&amp;link=LNHNREFclscc4" TargetMode="External" /><Relationship Id="rId16" Type="http://schemas.openxmlformats.org/officeDocument/2006/relationships/hyperlink" Target="https://advance.lexis.com/api/document?collection=statutes-legislation&amp;id=urn:contentItem:5DDJ-C8H1-JW8X-V3NN-00000-00&amp;context=1519360" TargetMode="External" /><Relationship Id="rId17" Type="http://schemas.openxmlformats.org/officeDocument/2006/relationships/hyperlink" Target="https://advance.lexis.com/api/document?collection=cases&amp;id=urn:contentItem:5VC2-PP31-FJM6-601G-00000-00&amp;context=1519360&amp;link=LNHNREFclscc5" TargetMode="External" /><Relationship Id="rId18" Type="http://schemas.openxmlformats.org/officeDocument/2006/relationships/hyperlink" Target="https://advance.lexis.com/api/document?collection=cases&amp;id=urn:contentItem:5VC2-PP31-FJM6-601G-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5BC7-KPY1-F04K-N3C4-00000-00&amp;context=1519360" TargetMode="External" /><Relationship Id="rId21" Type="http://schemas.openxmlformats.org/officeDocument/2006/relationships/hyperlink" Target="https://advance.lexis.com/api/document?collection=cases&amp;id=urn:contentItem:7YY8-RKT1-652R-3001-00000-00&amp;context=1519360" TargetMode="External" /><Relationship Id="rId22" Type="http://schemas.openxmlformats.org/officeDocument/2006/relationships/hyperlink" Target="https://advance.lexis.com/api/document?collection=cases&amp;id=urn:contentItem:5VC2-PP31-FJM6-601G-00000-00&amp;context=1519360&amp;link=clscc2" TargetMode="External" /><Relationship Id="rId23" Type="http://schemas.openxmlformats.org/officeDocument/2006/relationships/hyperlink" Target="https://advance.lexis.com/api/document?collection=cases&amp;id=urn:contentItem:3S4X-FHX0-003B-S04Y-00000-00&amp;context=1519360" TargetMode="External" /><Relationship Id="rId24" Type="http://schemas.openxmlformats.org/officeDocument/2006/relationships/hyperlink" Target="https://advance.lexis.com/api/document?collection=cases&amp;id=urn:contentItem:49D1-YFV0-0038-X0PG-00000-00&amp;context=1519360" TargetMode="External" /><Relationship Id="rId25" Type="http://schemas.openxmlformats.org/officeDocument/2006/relationships/hyperlink" Target="https://advance.lexis.com/api/document?collection=cases&amp;id=urn:contentItem:5VC2-PP31-FJM6-601G-00000-00&amp;context=1519360&amp;link=clscc3" TargetMode="External" /><Relationship Id="rId26" Type="http://schemas.openxmlformats.org/officeDocument/2006/relationships/hyperlink" Target="https://advance.lexis.com/api/document?collection=cases&amp;id=urn:contentItem:4GV3-4KC0-0038-X1JD-00000-00&amp;context=1519360" TargetMode="External" /><Relationship Id="rId27" Type="http://schemas.openxmlformats.org/officeDocument/2006/relationships/hyperlink" Target="https://advance.lexis.com/api/document?collection=cases&amp;id=urn:contentItem:5VC2-PP31-FJM6-601G-00000-00&amp;context=1519360&amp;link=clscc4" TargetMode="External" /><Relationship Id="rId28" Type="http://schemas.openxmlformats.org/officeDocument/2006/relationships/hyperlink" Target="https://advance.lexis.com/api/document?collection=cases&amp;id=urn:contentItem:52JM-JD11-652P-T0J0-00000-00&amp;context=1519360" TargetMode="External" /><Relationship Id="rId29" Type="http://schemas.openxmlformats.org/officeDocument/2006/relationships/hyperlink" Target="https://advance.lexis.com/api/document?collection=cases&amp;id=urn:contentItem:5HR9-W7Y1-F04K-B3M3-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4XD-1FR0-004C-101T-00000-00&amp;context=1519360" TargetMode="External" /><Relationship Id="rId31" Type="http://schemas.openxmlformats.org/officeDocument/2006/relationships/hyperlink" Target="https://advance.lexis.com/api/document?collection=cases&amp;id=urn:contentItem:5VC2-PP31-FJM6-601G-00000-00&amp;context=1519360&amp;link=clscc5" TargetMode="External" /><Relationship Id="rId32" Type="http://schemas.openxmlformats.org/officeDocument/2006/relationships/hyperlink" Target="https://advance.lexis.com/api/document?collection=cases&amp;id=urn:contentItem:4NRF-BFB0-0038-X161-00000-00&amp;context=1519360" TargetMode="External" /><Relationship Id="rId33" Type="http://schemas.openxmlformats.org/officeDocument/2006/relationships/hyperlink" Target="https://advance.lexis.com/api/document?collection=cases&amp;id=urn:contentItem:3S4X-69G0-003B-444V-00000-00&amp;context=1519360" TargetMode="External" /><Relationship Id="rId34" Type="http://schemas.openxmlformats.org/officeDocument/2006/relationships/hyperlink" Target="https://advance.lexis.com/api/document?collection=cases&amp;id=urn:contentItem:5GP1-T1B1-F04K-N1JN-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VC2-PP31-FJM6-601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Watson, 751 Fed. Appx. 592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Doc::urn:hlct:5|contextualFeaturePermID::1519360</vt:lpwstr>
  </property>
  <property fmtid="{D5CDD505-2E9C-101B-9397-08002B2CF9AE}" pid="5" name="UserPermID">
    <vt:lpwstr>urn:user:PA186186298</vt:lpwstr>
  </property>
</Properties>
</file>