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Iniguez-Aguilar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Arizona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2023, Decided; August 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CV-22-00128-TUC-JAS</w:t>
      </w:r>
    </w:p>
    <w:p>
      <w:pPr>
        <w:keepNext w:val="0"/>
        <w:spacing w:after="0" w:line="240" w:lineRule="atLeast"/>
        <w:ind w:right="0"/>
        <w:jc w:val="both"/>
      </w:pPr>
      <w:bookmarkStart w:id="0" w:name="Bookmark_7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138896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Jose Luis Iniguez-Aguilar, Petitioner, v. United States of America, Respondent.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drugs, immigration consequences,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deported, coram nobis, drug trafficking, plea agreement, immigration, notice, coram, nobis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Jose Luis Iniguez-Aguilar, Petitioner: Matthew Harrison Green, LEAD ATTORNEY, Green Evans-Schroeder PLLC, Tucson, AZ.</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James A. Soto,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James A. Soto</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Pending before the Court is Petitioner's petition for a writ of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("Petition"). For the reasons stated below, the Petition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Discussion</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Petitioner (Jose Luis Iniguez-Aguilar) was born in Mexico and lived in Mexico for 32 years; subsequently, in 1990, Petitioner became a lawful permanent resident of the United States. However, only three years later, on April 18, 1993, Petitioner was apprehended at approximately 9:30 p.m. at the Grand Avenue Port of Entry in Nogales, Arizona, attempting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illegal drugs into the United States from Mexico. At the time of his apprehension at the port of entry, Petitioner was driving a vehicle registered in his name; it was discovered that Petitioner's vehicle contained two false compartments in the gas tank that contained 71.66 pounds of marijuana. As such, Petitioner was charged with possession with intent to distribute 71.66 pounds of marijuana in violation of </w:t>
      </w:r>
      <w:r>
        <w:rPr>
          <w:rFonts w:ascii="arial" w:eastAsia="arial" w:hAnsi="arial" w:cs="arial"/>
          <w:b w:val="0"/>
          <w:i/>
          <w:strike w:val="0"/>
          <w:noProof w:val="0"/>
          <w:color w:val="000000"/>
          <w:position w:val="0"/>
          <w:sz w:val="20"/>
          <w:u w:val="none"/>
          <w:vertAlign w:val="baseline"/>
        </w:rPr>
        <w:t>21 U.S.C. § 841</w:t>
      </w:r>
      <w:r>
        <w:rPr>
          <w:rFonts w:ascii="arial" w:eastAsia="arial" w:hAnsi="arial" w:cs="arial"/>
          <w:b w:val="0"/>
          <w:i w:val="0"/>
          <w:strike w:val="0"/>
          <w:noProof w:val="0"/>
          <w:color w:val="000000"/>
          <w:position w:val="0"/>
          <w:sz w:val="20"/>
          <w:u w:val="none"/>
          <w:vertAlign w:val="baseline"/>
        </w:rPr>
        <w:t xml:space="preserve">; shortly thereafter, Petitioner pleaded guilty to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into the United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States from Mexico in 1993, and Petitioner received his judgment of conviction and was sentenced to 12 months imprisonment on December 17, 1993. Immediately after Petitioner finished serving his term of imprisonment for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Petitioner was deported to Mexico near the beginning of January of 1995. About a week after being deported to Mexico, Petitioner illegally reentered the United States in mid-January of 1995 and has remained continuously in the United States since 1995. In 2022, approximately twenty-nine years after his 1993 conviction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into the United States from Mexico, Petitioner filed his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Petition which states: that he now wants to become a naturalized citizen of the United States (but his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conviction prevents him from becoming a naturalized citizen), that his attorney in 1993 did not discuss the immigration consequences of a conviction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into the United States from Mexico, and because his attorney was allegedly ineffective for not discussing immigration consequences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into the United States from Mexico, Petitioner is entitled to have this Court vacate his 1993 criminal conviction via</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his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Petition.</w:t>
      </w:r>
    </w:p>
    <w:p>
      <w:pPr>
        <w:keepNext w:val="0"/>
        <w:spacing w:before="200" w:after="0" w:line="260" w:lineRule="atLeast"/>
        <w:ind w:left="0" w:right="0" w:firstLine="0"/>
        <w:jc w:val="both"/>
      </w:pPr>
      <w:bookmarkStart w:id="9" w:name="Bookmark_para_3"/>
      <w:bookmarkEnd w:id="9"/>
      <w:bookmarkStart w:id="10" w:name="Bookmark_I68XHG0C28T42R0020000400"/>
      <w:bookmarkEnd w:id="10"/>
      <w:bookmarkStart w:id="11" w:name="Bookmark_I68XHG0D2HM6H90030000400"/>
      <w:bookmarkEnd w:id="11"/>
      <w:r>
        <w:rPr>
          <w:rFonts w:ascii="arial" w:eastAsia="arial" w:hAnsi="arial" w:cs="arial"/>
          <w:b w:val="0"/>
          <w:i w:val="0"/>
          <w:strike w:val="0"/>
          <w:noProof w:val="0"/>
          <w:color w:val="000000"/>
          <w:position w:val="0"/>
          <w:sz w:val="20"/>
          <w:u w:val="none"/>
          <w:vertAlign w:val="baseline"/>
        </w:rPr>
        <w:t xml:space="preserve">A review of the pertinent record and authority shows that Petitioner clearly does not meet the very high standard required for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relief.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is an extraordinary writ, used only to review errors of the most fundamental character." </w:t>
      </w:r>
      <w:bookmarkStart w:id="12" w:name="Bookmark_I68XHG0C28T42R0010000400"/>
      <w:bookmarkEnd w:id="12"/>
      <w:hyperlink r:id="rId10" w:history="1">
        <w:r>
          <w:rPr>
            <w:rFonts w:ascii="arial" w:eastAsia="arial" w:hAnsi="arial" w:cs="arial"/>
            <w:b w:val="0"/>
            <w:i/>
            <w:strike w:val="0"/>
            <w:noProof w:val="0"/>
            <w:color w:val="0077CC"/>
            <w:position w:val="0"/>
            <w:sz w:val="20"/>
            <w:u w:val="single"/>
            <w:vertAlign w:val="baseline"/>
          </w:rPr>
          <w:t>United States v. Matus-Leva</w:t>
        </w:r>
      </w:hyperlink>
      <w:hyperlink r:id="rId10" w:history="1">
        <w:r>
          <w:rPr>
            <w:rFonts w:ascii="arial" w:eastAsia="arial" w:hAnsi="arial" w:cs="arial"/>
            <w:b w:val="0"/>
            <w:i/>
            <w:strike w:val="0"/>
            <w:noProof w:val="0"/>
            <w:color w:val="0077CC"/>
            <w:position w:val="0"/>
            <w:sz w:val="20"/>
            <w:u w:val="single"/>
            <w:vertAlign w:val="baseline"/>
          </w:rPr>
          <w:t>, 287 F.3d 758, 760 (9th Cir. 2002)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"To warrant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relief, [Petitioner] must establish that: (1) a more usual remedy is not available; (2) valid reasons exist for not attacking the conviction earlier; (3) adverse consequences exist from the conviction sufficient to satisfy the case or controversy requirement of Article III; and (4) the error is of a fundamental character."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"Because these requirements are conjunctive, failure to meet any one of them is fatal."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4" w:name="Bookmark_I68XHG0C28T42R0030000400"/>
      <w:bookmarkEnd w:id="14"/>
      <w:hyperlink r:id="rId11" w:history="1">
        <w:r>
          <w:rPr>
            <w:rFonts w:ascii="arial" w:eastAsia="arial" w:hAnsi="arial" w:cs="arial"/>
            <w:b w:val="0"/>
            <w:i/>
            <w:strike w:val="0"/>
            <w:noProof w:val="0"/>
            <w:color w:val="0077CC"/>
            <w:position w:val="0"/>
            <w:sz w:val="20"/>
            <w:u w:val="single"/>
            <w:vertAlign w:val="baseline"/>
          </w:rPr>
          <w:t>United States v. Morgan</w:t>
        </w:r>
      </w:hyperlink>
      <w:hyperlink r:id="rId11" w:history="1">
        <w:r>
          <w:rPr>
            <w:rFonts w:ascii="arial" w:eastAsia="arial" w:hAnsi="arial" w:cs="arial"/>
            <w:b w:val="0"/>
            <w:i/>
            <w:strike w:val="0"/>
            <w:noProof w:val="0"/>
            <w:color w:val="0077CC"/>
            <w:position w:val="0"/>
            <w:sz w:val="20"/>
            <w:u w:val="single"/>
            <w:vertAlign w:val="baseline"/>
          </w:rPr>
          <w:t>, 346 U.S. 502, 511, 74 S. Ct. 247, 98 L. Ed. 248 (1954)</w:t>
        </w:r>
      </w:hyperlink>
      <w:r>
        <w:rPr>
          <w:rFonts w:ascii="arial" w:eastAsia="arial" w:hAnsi="arial" w:cs="arial"/>
          <w:b w:val="0"/>
          <w:i w:val="0"/>
          <w:strike w:val="0"/>
          <w:noProof w:val="0"/>
          <w:color w:val="000000"/>
          <w:position w:val="0"/>
          <w:sz w:val="20"/>
          <w:u w:val="none"/>
          <w:vertAlign w:val="baseline"/>
        </w:rPr>
        <w:t xml:space="preserve"> ("Continuation of litigation after final judgment and exhaustion or waiver of any statutory right of review should be allowed through this extraordinary remedy [of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only under circumstances compelling such action to achieve justice."); </w:t>
      </w:r>
      <w:bookmarkStart w:id="15" w:name="Bookmark_I68XHG0C28T42R0050000400"/>
      <w:bookmarkEnd w:id="15"/>
      <w:hyperlink r:id="rId12" w:history="1">
        <w:r>
          <w:rPr>
            <w:rFonts w:ascii="arial" w:eastAsia="arial" w:hAnsi="arial" w:cs="arial"/>
            <w:b w:val="0"/>
            <w:i/>
            <w:strike w:val="0"/>
            <w:noProof w:val="0"/>
            <w:color w:val="0077CC"/>
            <w:position w:val="0"/>
            <w:sz w:val="20"/>
            <w:u w:val="single"/>
            <w:vertAlign w:val="baseline"/>
          </w:rPr>
          <w:t>Byrnes v. United States</w:t>
        </w:r>
      </w:hyperlink>
      <w:hyperlink r:id="rId12" w:history="1">
        <w:r>
          <w:rPr>
            <w:rFonts w:ascii="arial" w:eastAsia="arial" w:hAnsi="arial" w:cs="arial"/>
            <w:b w:val="0"/>
            <w:i/>
            <w:strike w:val="0"/>
            <w:noProof w:val="0"/>
            <w:color w:val="0077CC"/>
            <w:position w:val="0"/>
            <w:sz w:val="20"/>
            <w:u w:val="single"/>
            <w:vertAlign w:val="baseline"/>
          </w:rPr>
          <w:t>, 408 F.2d 599, 602 (9th Cir. 1969)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is an extraordinary writ. The jurisdiction of a court to grant relief under it is of limited scope. Any proceeding which is challenged by the writ is presumed to be correct and the burden rests on its assailant to show</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otherwise."); </w:t>
      </w:r>
      <w:bookmarkStart w:id="16" w:name="Bookmark_I68XHG0D2HM6H90020000400"/>
      <w:bookmarkEnd w:id="16"/>
      <w:hyperlink r:id="rId13" w:history="1">
        <w:r>
          <w:rPr>
            <w:rFonts w:ascii="arial" w:eastAsia="arial" w:hAnsi="arial" w:cs="arial"/>
            <w:b w:val="0"/>
            <w:i/>
            <w:strike w:val="0"/>
            <w:noProof w:val="0"/>
            <w:color w:val="0077CC"/>
            <w:position w:val="0"/>
            <w:sz w:val="20"/>
            <w:u w:val="single"/>
            <w:vertAlign w:val="baseline"/>
          </w:rPr>
          <w:t>Carlisle v. United States</w:t>
        </w:r>
      </w:hyperlink>
      <w:hyperlink r:id="rId13" w:history="1">
        <w:r>
          <w:rPr>
            <w:rFonts w:ascii="arial" w:eastAsia="arial" w:hAnsi="arial" w:cs="arial"/>
            <w:b w:val="0"/>
            <w:i/>
            <w:strike w:val="0"/>
            <w:noProof w:val="0"/>
            <w:color w:val="0077CC"/>
            <w:position w:val="0"/>
            <w:sz w:val="20"/>
            <w:u w:val="single"/>
            <w:vertAlign w:val="baseline"/>
          </w:rPr>
          <w:t>, 517 U.S. 416, 429-30, 116 S. Ct. 1460, 134 L. Ed. 2d 613 (1996)</w:t>
        </w:r>
      </w:hyperlink>
      <w:r>
        <w:rPr>
          <w:rFonts w:ascii="arial" w:eastAsia="arial" w:hAnsi="arial" w:cs="arial"/>
          <w:b w:val="0"/>
          <w:i w:val="0"/>
          <w:strike w:val="0"/>
          <w:noProof w:val="0"/>
          <w:color w:val="000000"/>
          <w:position w:val="0"/>
          <w:sz w:val="20"/>
          <w:u w:val="none"/>
          <w:vertAlign w:val="baseline"/>
        </w:rPr>
        <w:t xml:space="preserve"> ("[A writ of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is a residual source of authority to issue writs that are not otherwise covered by statute . . . [I]t is difficult to conceive of a situation in a federal criminal case today where [a writ of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would be necessary or appropriate.").</w:t>
      </w:r>
    </w:p>
    <w:p>
      <w:pPr>
        <w:keepNext w:val="0"/>
        <w:spacing w:before="200" w:after="0" w:line="260" w:lineRule="atLeast"/>
        <w:ind w:left="0" w:right="0" w:firstLine="0"/>
        <w:jc w:val="both"/>
      </w:pPr>
      <w:bookmarkStart w:id="17" w:name="Bookmark_para_4"/>
      <w:bookmarkEnd w:id="17"/>
      <w:r>
        <w:rPr>
          <w:rFonts w:ascii="arial" w:eastAsia="arial" w:hAnsi="arial" w:cs="arial"/>
          <w:b w:val="0"/>
          <w:i w:val="0"/>
          <w:strike w:val="0"/>
          <w:noProof w:val="0"/>
          <w:color w:val="000000"/>
          <w:position w:val="0"/>
          <w:sz w:val="20"/>
          <w:u w:val="none"/>
          <w:vertAlign w:val="baseline"/>
        </w:rPr>
        <w:t xml:space="preserve">As a threshold matter, there are no valid reasons for Petitioner waiting approximately 29 years after his 1993 conviction to file his 2022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Petition. While presumably it would be self-evident that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illegal drugs into the United States from Mexico would be a barrier to becoming a naturalized citizen of the United States, Petitioner was certainly on notice that his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conviction had serious immigration consequences as he was deported from the United States to Mexico in 1995 immediately after he served his sentence for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Moreover, when the United States initiated proceedings in 2013 to again deport Petitioner to Mexico, Petitioner was again on notice that his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conviction had serious immigration consequences. Petitioner was swept up into immigration proceedings in 2013 arising from a separate investigation into his wife.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1-22 at p. 3 ("Agent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Bianche developed this lead [into Petitioner] while attempting to locate Ramone Figueroa-Rosas, a convicted drug trafficker who was sentenced to more than 5 years in prison . . . Agent Bianche conducted records checks and determined Ramona was married to Jose Iniguez-Aguilar. Agent Bianche conducted a criminal history check for Iniguez and determined he was an aggravated felon for a drug trafficking conviction and was also a prior deport from Mexico."). While Petitioner eventually was able to qualify for a narrow exception to remain in the United States and have his legal permanent resident status restored, Petitioner was again on notice in 2013 that substantive immigration problems stemmed from his 1993 drug conviction. In addition, in September of 2017, Petitioner received a letter from his immigration lawyer (via his Legal Assistant) which stated "[a]s discussed with your attorney, you would need to consult a criminal attorney about a pardon if you want to apply for naturalization"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1-34 at p. 2); likewise, in 2020, another immigration attorney informed Petitioner that his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conviction would prevent him from becoming a naturalized United States citizen, and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vacating the conviction was a minimum requirement for any chance at becoming a citizen. The record reflects that Plaintiff was on notice of extremely serious immigration consequences stemming from his 1993 criminal conviction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illegal drugs into the United States from Mexico since at least 1995 (i.e., when he was deported for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and was on notice again in 2013, 2017, and 2020. There are no valid reasons for Petitioner failing to attack his final 1993 conviction until 2022; as such, the Petition is denied.</w:t>
      </w:r>
    </w:p>
    <w:p>
      <w:pPr>
        <w:keepNext w:val="0"/>
        <w:spacing w:before="200" w:after="0" w:line="260" w:lineRule="atLeast"/>
        <w:ind w:left="0" w:right="0" w:firstLine="0"/>
        <w:jc w:val="both"/>
      </w:pPr>
      <w:bookmarkStart w:id="18" w:name="Bookmark_para_5"/>
      <w:bookmarkEnd w:id="18"/>
      <w:r>
        <w:rPr>
          <w:rFonts w:ascii="arial" w:eastAsia="arial" w:hAnsi="arial" w:cs="arial"/>
          <w:b w:val="0"/>
          <w:i w:val="0"/>
          <w:strike w:val="0"/>
          <w:noProof w:val="0"/>
          <w:color w:val="000000"/>
          <w:position w:val="0"/>
          <w:sz w:val="20"/>
          <w:u w:val="none"/>
          <w:vertAlign w:val="baseline"/>
        </w:rPr>
        <w:t xml:space="preserve">Alternatively, the Petition is also denied on the ground that there was no error of any fundamental character in this case. Petitioner asserts that he would not have entered into the plea agreement if his attorney had not been ineffective inasmuch as Petitioner claims that he was never informed of potential immigration consequences stemming from his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conviction. Petitioner's self-serving affidavit states that he does not recall a discussion of immigration consequences in 1993; however, Petitioner's defense counsel from 1993 also submitted an affidavit stating that he has no independent recollection of Petitioner's case, but there is a letter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from defense counsel to the prosecutor in 1993 that states: "As you know, a conviction for a drug offense more than likely will result in this client's [i.e., Petitioner's] deportation from the country. It may be that the client is reluctant to enter a guilty plea for that reason. Nonetheless [if the prosecutor would agree to stipulate to a maximum sentence of 12 months pursuant to a plea agreement — which the parties subsequently memorialized in a plea agreement] . . . I will recommend that my client [Petitioner] accept it."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1-9 at p. 2. </w:t>
      </w:r>
      <w:bookmarkStart w:id="19" w:name="Bookmark_I68XHG0D2HM6H90050000400"/>
      <w:bookmarkEnd w:id="19"/>
      <w:r>
        <w:rPr>
          <w:rFonts w:ascii="arial" w:eastAsia="arial" w:hAnsi="arial" w:cs="arial"/>
          <w:b w:val="0"/>
          <w:i w:val="0"/>
          <w:strike w:val="0"/>
          <w:noProof w:val="0"/>
          <w:color w:val="000000"/>
          <w:position w:val="0"/>
          <w:sz w:val="20"/>
          <w:u w:val="none"/>
          <w:vertAlign w:val="baseline"/>
        </w:rPr>
        <w:t>It strains credulity to posit that defense counsel would write a letter to the prosecutor discussing serious immigration consequences from the conviction (and that was likely why Petitioner was initially reluctant to accept the plea), but defense counsel would fail to discuss the same issue with his own client. Furthermore, it is apparent that even if Petitioner was fully aware of every possible immigration consequence flowing from his drug conviction, he nonetheless still would have accepted the plea. If Petitioner did not accept the plea, he would have been convicted at trial as the Government had a strong case; Petitioner was the driver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and registered owner of a vehicle that contained two hidden compartments in the gas tank containing 71.66 pounds of marijuana. </w:t>
      </w:r>
      <w:r>
        <w:rPr>
          <w:rFonts w:ascii="arial" w:eastAsia="arial" w:hAnsi="arial" w:cs="arial"/>
          <w:b w:val="0"/>
          <w:i/>
          <w:strike w:val="0"/>
          <w:noProof w:val="0"/>
          <w:color w:val="000000"/>
          <w:position w:val="0"/>
          <w:sz w:val="20"/>
          <w:u w:val="none"/>
          <w:vertAlign w:val="baseline"/>
        </w:rPr>
        <w:t xml:space="preserve">See generally </w:t>
      </w:r>
      <w:bookmarkStart w:id="20" w:name="Bookmark_I68XHG0D2HM6H90040000400"/>
      <w:bookmarkEnd w:id="20"/>
      <w:r>
        <w:rPr>
          <w:rFonts w:ascii="arial" w:eastAsia="arial" w:hAnsi="arial" w:cs="arial"/>
          <w:b w:val="0"/>
          <w:i/>
          <w:strike w:val="0"/>
          <w:noProof w:val="0"/>
          <w:color w:val="000000"/>
          <w:position w:val="0"/>
          <w:sz w:val="20"/>
          <w:u w:val="none"/>
          <w:vertAlign w:val="baseline"/>
        </w:rPr>
        <w:t>United States v. Sepulveda-Barraza</w:t>
      </w:r>
      <w:r>
        <w:rPr>
          <w:rFonts w:ascii="arial" w:eastAsia="arial" w:hAnsi="arial" w:cs="arial"/>
          <w:b w:val="0"/>
          <w:i/>
          <w:strike w:val="0"/>
          <w:noProof w:val="0"/>
          <w:color w:val="000000"/>
          <w:position w:val="0"/>
          <w:sz w:val="20"/>
          <w:u w:val="none"/>
          <w:vertAlign w:val="baseline"/>
        </w:rPr>
        <w:t>, 645 F.3d 1066, 1072, 1069 (9th Cir. 2011)</w:t>
      </w:r>
      <w:r>
        <w:rPr>
          <w:rFonts w:ascii="arial" w:eastAsia="arial" w:hAnsi="arial" w:cs="arial"/>
          <w:b w:val="0"/>
          <w:i w:val="0"/>
          <w:strike w:val="0"/>
          <w:noProof w:val="0"/>
          <w:color w:val="000000"/>
          <w:position w:val="0"/>
          <w:sz w:val="20"/>
          <w:u w:val="none"/>
          <w:vertAlign w:val="baseline"/>
        </w:rPr>
        <w:t xml:space="preserve"> (holding that it was not an abuse of discretion in admitting testimony at trial as "Agent Bortfeld's expert testimony was relevant, probative, and not unduly prejudicial. Here Agent Bortfeld's expert opinion that . . . drug trafficking organizations do not normally use unwitting couriers due to the value of the drugs involved, went right to the heart of [Defendant's position] that he was simply an unknowing courier [who did not know about the drugs hidden in the car he was driving]."; "[Agent] Bortfeld explained that drug traffickers want to maintain control of the drugs they are transporting, and that they would need to know who was transporting the drugs and when they could be retrieved. Further, he testified that drug traffickers do not typically use unknowing drivers to transport drugs . . ."). Thus, in addition to being convicted at trial and facing up to the statutory maximum of 60 months in prison (instead of the 12 months he received pursuant to his very favorable plea agreement), Petitioner nevertheless would still have faced the same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immigration barriers to naturalization (except he could faced many more years in prison without the benefit of his favorable plea agreement).</w:t>
      </w:r>
    </w:p>
    <w:p>
      <w:pPr>
        <w:keepNext w:val="0"/>
        <w:spacing w:before="200" w:after="0" w:line="260" w:lineRule="atLeast"/>
        <w:ind w:left="0" w:right="0" w:firstLine="0"/>
        <w:jc w:val="both"/>
      </w:pPr>
      <w:bookmarkStart w:id="21" w:name="Bookmark_para_6"/>
      <w:bookmarkEnd w:id="21"/>
      <w:r>
        <w:rPr>
          <w:rFonts w:ascii="arial" w:eastAsia="arial" w:hAnsi="arial" w:cs="arial"/>
          <w:b w:val="0"/>
          <w:i w:val="0"/>
          <w:strike w:val="0"/>
          <w:noProof w:val="0"/>
          <w:color w:val="000000"/>
          <w:position w:val="0"/>
          <w:sz w:val="20"/>
          <w:u w:val="none"/>
          <w:vertAlign w:val="baseline"/>
        </w:rPr>
        <w:t>As valid reasons do not exist for failing to attack the conviction earlier and there were no fundamental errors, IT IS ORDERED that the Petition is denied, this case is dismissed with prejudice, and the Clerk of the Court shall enter judgment and close the file in this case.</w:t>
      </w:r>
    </w:p>
    <w:p>
      <w:pPr>
        <w:keepNext w:val="0"/>
        <w:spacing w:before="200" w:after="0" w:line="260" w:lineRule="atLeast"/>
        <w:ind w:left="0" w:right="0" w:firstLine="0"/>
        <w:jc w:val="both"/>
      </w:pPr>
      <w:bookmarkStart w:id="22" w:name="Bookmark_para_7"/>
      <w:bookmarkEnd w:id="22"/>
      <w:r>
        <w:rPr>
          <w:rFonts w:ascii="arial" w:eastAsia="arial" w:hAnsi="arial" w:cs="arial"/>
          <w:b w:val="0"/>
          <w:i w:val="0"/>
          <w:strike w:val="0"/>
          <w:noProof w:val="0"/>
          <w:color w:val="000000"/>
          <w:position w:val="0"/>
          <w:sz w:val="20"/>
          <w:u w:val="none"/>
          <w:vertAlign w:val="baseline"/>
        </w:rPr>
        <w:t>Dated this 8th day of August, 2023.</w:t>
      </w:r>
    </w:p>
    <w:p>
      <w:pPr>
        <w:keepNext w:val="0"/>
        <w:spacing w:before="200" w:after="0" w:line="260" w:lineRule="atLeast"/>
        <w:ind w:left="0" w:right="0" w:firstLine="0"/>
        <w:jc w:val="both"/>
      </w:pPr>
      <w:bookmarkStart w:id="23" w:name="Bookmark_para_8"/>
      <w:bookmarkEnd w:id="23"/>
      <w:r>
        <w:rPr>
          <w:rFonts w:ascii="arial" w:eastAsia="arial" w:hAnsi="arial" w:cs="arial"/>
          <w:b w:val="0"/>
          <w:i w:val="0"/>
          <w:strike w:val="0"/>
          <w:noProof w:val="0"/>
          <w:color w:val="000000"/>
          <w:position w:val="0"/>
          <w:sz w:val="20"/>
          <w:u w:val="none"/>
          <w:vertAlign w:val="baseline"/>
        </w:rPr>
        <w:t>/s/ James A. Soto</w:t>
      </w:r>
    </w:p>
    <w:p>
      <w:pPr>
        <w:keepNext w:val="0"/>
        <w:spacing w:before="200" w:after="0" w:line="260" w:lineRule="atLeast"/>
        <w:ind w:left="0" w:right="0" w:firstLine="0"/>
        <w:jc w:val="both"/>
      </w:pPr>
      <w:bookmarkStart w:id="24" w:name="Bookmark_para_9"/>
      <w:bookmarkEnd w:id="24"/>
      <w:r>
        <w:rPr>
          <w:rFonts w:ascii="arial" w:eastAsia="arial" w:hAnsi="arial" w:cs="arial"/>
          <w:b w:val="0"/>
          <w:i w:val="0"/>
          <w:strike w:val="0"/>
          <w:noProof w:val="0"/>
          <w:color w:val="000000"/>
          <w:position w:val="0"/>
          <w:sz w:val="20"/>
          <w:u w:val="none"/>
          <w:vertAlign w:val="baseline"/>
        </w:rPr>
        <w:t>Honorable James A. Soto</w:t>
      </w:r>
    </w:p>
    <w:p>
      <w:pPr>
        <w:keepNext w:val="0"/>
        <w:spacing w:before="200" w:after="0" w:line="260" w:lineRule="atLeast"/>
        <w:ind w:left="0" w:right="0" w:firstLine="0"/>
        <w:jc w:val="both"/>
      </w:pPr>
      <w:bookmarkStart w:id="25" w:name="Bookmark_para_10"/>
      <w:bookmarkEnd w:id="25"/>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r>
        <w:rPr>
          <w:rFonts w:ascii="arial" w:eastAsia="arial" w:hAnsi="arial" w:cs="arial"/>
          <w:b w:val="0"/>
          <w:i w:val="0"/>
          <w:strike w:val="0"/>
          <w:noProof w:val="0"/>
          <w:color w:val="000000"/>
          <w:position w:val="0"/>
          <w:sz w:val="18"/>
          <w:u w:val="none"/>
          <w:vertAlign w:val="baseline"/>
        </w:rPr>
        <w:t>Unless otherwise noted by the Court, internal quotes and citations have been omitted when quoting and citing cases throughout this Order.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Iniguez-Aguilar v. United States, 2023 U.S. Dist. LEXIS 138896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45JT-K9G0-0038-X4RR-00000-00&amp;context=1519360" TargetMode="External" /><Relationship Id="rId11" Type="http://schemas.openxmlformats.org/officeDocument/2006/relationships/hyperlink" Target="https://advance.lexis.com/api/document?collection=cases&amp;id=urn:contentItem:3S4X-JDX0-003B-S4DR-00000-00&amp;context=1519360" TargetMode="External" /><Relationship Id="rId12" Type="http://schemas.openxmlformats.org/officeDocument/2006/relationships/hyperlink" Target="https://advance.lexis.com/api/document?collection=cases&amp;id=urn:contentItem:3S4W-TK10-0039-Y0NP-00000-00&amp;context=1519360" TargetMode="External" /><Relationship Id="rId13" Type="http://schemas.openxmlformats.org/officeDocument/2006/relationships/hyperlink" Target="https://advance.lexis.com/api/document?collection=cases&amp;id=urn:contentItem:3S65-J880-003B-R4FW-00000-00&amp;context=1519360"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X3-KX81-FBN1-244M-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Iniguez-Aguilar v. United States, 2023 U.S. Dist. LEXIS 138896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73</vt:lpwstr>
  </property>
  <property fmtid="{D5CDD505-2E9C-101B-9397-08002B2CF9AE}" pid="3" name="LADocCount">
    <vt:lpwstr>1</vt:lpwstr>
  </property>
  <property fmtid="{D5CDD505-2E9C-101B-9397-08002B2CF9AE}" pid="4" name="LADocumentID:73">
    <vt:lpwstr>Doc::urn:hlct:5|contextualFeaturePermID::1519360</vt:lpwstr>
  </property>
  <property fmtid="{D5CDD505-2E9C-101B-9397-08002B2CF9AE}" pid="5" name="UserPermID">
    <vt:lpwstr>urn:user:PA186186280</vt:lpwstr>
  </property>
</Properties>
</file>