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Henderickson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Ninth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22, 2023</w:t>
      </w:r>
      <w:r>
        <w:rPr>
          <w:rFonts w:ascii="arial" w:eastAsia="arial" w:hAnsi="arial" w:cs="arial"/>
          <w:vertAlign w:val="superscript"/>
        </w:rPr>
        <w:footnoteReference w:customMarkFollows="1" w:id="2"/>
        <w:t xml:space="preserve">**</w:t>
      </w:r>
      <w:r>
        <w:rPr>
          <w:rFonts w:ascii="arial" w:eastAsia="arial" w:hAnsi="arial" w:cs="arial"/>
          <w:b w:val="0"/>
          <w:i w:val="0"/>
          <w:strike w:val="0"/>
          <w:noProof w:val="0"/>
          <w:color w:val="000000"/>
          <w:position w:val="0"/>
          <w:sz w:val="20"/>
          <w:u w:val="none"/>
          <w:vertAlign w:val="baseline"/>
        </w:rPr>
        <w:t>, Submitted, Seattle, Washington; August 24,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22-30090</w:t>
      </w:r>
    </w:p>
    <w:p>
      <w:pPr>
        <w:keepNext w:val="0"/>
        <w:spacing w:after="0" w:line="240" w:lineRule="atLeast"/>
        <w:ind w:right="0"/>
        <w:jc w:val="both"/>
      </w:pPr>
      <w:bookmarkStart w:id="1" w:name="Bookmark_82"/>
      <w:bookmarkEnd w:id="1"/>
    </w:p>
    <w:p>
      <w:pPr>
        <w:keepNext w:val="0"/>
        <w:spacing w:before="200" w:after="0" w:line="240" w:lineRule="atLeast"/>
        <w:ind w:left="0" w:right="0" w:firstLine="0"/>
        <w:jc w:val="left"/>
      </w:pPr>
      <w:bookmarkStart w:id="2" w:name="Reporter"/>
      <w:bookmarkEnd w:id="2"/>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App. LEXIS 22336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5453234</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Plaintiff-Appellee, v. KATHY ANN HENDERICKSON, AKA Kathy Thorberg, Defendant-Appellant.</w:t>
      </w:r>
    </w:p>
    <w:p>
      <w:pPr>
        <w:keepNext w:val="0"/>
        <w:spacing w:before="240" w:after="0" w:line="260" w:lineRule="atLeast"/>
        <w:ind w:left="0" w:right="0" w:firstLine="0"/>
        <w:jc w:val="both"/>
      </w:pPr>
      <w:bookmarkStart w:id="3" w:name="Notice"/>
      <w:bookmarkEnd w:id="3"/>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4" w:name="Bookmark_para_1"/>
      <w:bookmarkEnd w:id="4"/>
      <w:r>
        <w:rPr>
          <w:rFonts w:ascii="arial" w:eastAsia="arial" w:hAnsi="arial" w:cs="arial"/>
          <w:b w:val="0"/>
          <w:i w:val="0"/>
          <w:strike w:val="0"/>
          <w:noProof w:val="0"/>
          <w:color w:val="000000"/>
          <w:position w:val="0"/>
          <w:sz w:val="20"/>
          <w:u w:val="none"/>
          <w:vertAlign w:val="baseline"/>
        </w:rPr>
        <w:t xml:space="preserve">PLEASE REFER TO </w:t>
      </w:r>
      <w:r>
        <w:rPr>
          <w:rFonts w:ascii="arial" w:eastAsia="arial" w:hAnsi="arial" w:cs="arial"/>
          <w:b w:val="0"/>
          <w:i/>
          <w:strike w:val="0"/>
          <w:noProof w:val="0"/>
          <w:color w:val="000000"/>
          <w:position w:val="0"/>
          <w:sz w:val="20"/>
          <w:u w:val="none"/>
          <w:vertAlign w:val="baseline"/>
        </w:rPr>
        <w:t>FEDERAL RULES OF APPELLATE PROCEDURE RULE 32.1</w:t>
      </w:r>
      <w:r>
        <w:rPr>
          <w:rFonts w:ascii="arial" w:eastAsia="arial" w:hAnsi="arial" w:cs="arial"/>
          <w:b w:val="0"/>
          <w:i w:val="0"/>
          <w:strike w:val="0"/>
          <w:noProof w:val="0"/>
          <w:color w:val="000000"/>
          <w:position w:val="0"/>
          <w:sz w:val="20"/>
          <w:u w:val="none"/>
          <w:vertAlign w:val="baseline"/>
        </w:rPr>
        <w:t xml:space="preserve"> GOVERNING THE CITATION TO UNPUBLISHED OPINIONS.</w:t>
      </w:r>
    </w:p>
    <w:p>
      <w:pPr>
        <w:keepNext w:val="0"/>
        <w:spacing w:before="240" w:after="0" w:line="260" w:lineRule="atLeast"/>
        <w:ind w:left="0" w:right="0" w:firstLine="0"/>
        <w:jc w:val="left"/>
      </w:pPr>
      <w:bookmarkStart w:id="5" w:name="Subsequent History"/>
      <w:bookmarkEnd w:id="5"/>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Motion granted by </w:t>
      </w:r>
      <w:hyperlink r:id="rId10" w:history="1">
        <w:r>
          <w:rPr>
            <w:rFonts w:ascii="arial" w:eastAsia="arial" w:hAnsi="arial" w:cs="arial"/>
            <w:b w:val="0"/>
            <w:i/>
            <w:strike w:val="0"/>
            <w:noProof w:val="0"/>
            <w:color w:val="0077CC"/>
            <w:position w:val="0"/>
            <w:sz w:val="20"/>
            <w:u w:val="single"/>
            <w:vertAlign w:val="baseline"/>
          </w:rPr>
          <w:t>United States v. Henderickson, 2023 U.S. App. LEXIS 28118 (9th Cir. Mont., Oct. 23, 2023)</w:t>
        </w:r>
      </w:hyperlink>
    </w:p>
    <w:p>
      <w:pPr>
        <w:keepNext w:val="0"/>
        <w:spacing w:before="240" w:after="0" w:line="260" w:lineRule="atLeast"/>
        <w:ind w:left="0" w:right="0" w:firstLine="0"/>
        <w:jc w:val="both"/>
      </w:pPr>
      <w:bookmarkStart w:id="6" w:name="Prior History"/>
      <w:bookmarkEnd w:id="6"/>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7" w:name="Bookmark_para_2"/>
      <w:bookmarkEnd w:id="7"/>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 from the United States District Court for the District of Montana. D.C. No. 9:21-cr-00032-DWM-1. Donald W. Molloy, District Judge, Presiding.</w:t>
      </w:r>
    </w:p>
    <w:p>
      <w:pPr>
        <w:keepNext w:val="0"/>
        <w:spacing w:before="240" w:after="0" w:line="260" w:lineRule="atLeast"/>
        <w:ind w:left="0" w:right="0" w:firstLine="0"/>
        <w:jc w:val="both"/>
      </w:pPr>
      <w:bookmarkStart w:id="8" w:name="Disposition"/>
      <w:bookmarkEnd w:id="8"/>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9" w:name="Bookmark_clspara_1"/>
      <w:bookmarkEnd w:id="9"/>
      <w:r>
        <w:rPr>
          <w:rFonts w:ascii="arial" w:eastAsia="arial" w:hAnsi="arial" w:cs="arial"/>
          <w:b w:val="0"/>
          <w:i w:val="0"/>
          <w:strike w:val="0"/>
          <w:noProof w:val="0"/>
          <w:color w:val="000000"/>
          <w:position w:val="0"/>
          <w:sz w:val="20"/>
          <w:u w:val="none"/>
          <w:vertAlign w:val="baseline"/>
        </w:rPr>
        <w:t>AFFIRMED.</w:t>
      </w:r>
    </w:p>
    <w:p>
      <w:pPr>
        <w:keepNext/>
        <w:spacing w:before="240" w:after="0" w:line="340" w:lineRule="atLeast"/>
        <w:ind w:left="0" w:right="0" w:firstLine="0"/>
        <w:jc w:val="left"/>
      </w:pPr>
      <w:bookmarkStart w:id="10" w:name="Core Terms"/>
      <w:bookmarkEnd w:id="10"/>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prior act, prior conviction, district court, prejudicial,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probative value, limit instruction, relevant evidence, modus operandi, unfairly, permits, remote</w:t>
      </w:r>
    </w:p>
    <w:p>
      <w:pPr>
        <w:keepNext w:val="0"/>
        <w:spacing w:before="240" w:after="0" w:line="260" w:lineRule="atLeast"/>
        <w:ind w:left="0" w:right="0" w:firstLine="0"/>
        <w:jc w:val="left"/>
      </w:pPr>
      <w:bookmarkStart w:id="11" w:name="Counsel"/>
      <w:bookmarkEnd w:id="11"/>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UNITED STATES OF AMERICA, Plaintiff - Appellee: Timothy John Racicot, Assistant U.S. Attorney, Tim Tatarka, Assistant U.S. Attorney, Office of the US Attorney, Billings, MT.</w:t>
      </w:r>
    </w:p>
    <w:p>
      <w:pPr>
        <w:keepNext w:val="0"/>
        <w:spacing w:before="240" w:after="0" w:line="260" w:lineRule="atLeast"/>
        <w:ind w:left="0" w:right="0" w:firstLine="0"/>
        <w:jc w:val="left"/>
      </w:pPr>
      <w:bookmarkStart w:id="12" w:name="Judges"/>
      <w:bookmarkEnd w:id="12"/>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HAWKINS, GRABER, and McKEOWN, Circuit Judges.</w:t>
      </w:r>
    </w:p>
    <w:p>
      <w:pPr>
        <w:keepNext/>
        <w:spacing w:before="240" w:after="0" w:line="340" w:lineRule="atLeast"/>
        <w:ind w:left="0" w:right="0" w:firstLine="0"/>
        <w:jc w:val="left"/>
      </w:pPr>
      <w:bookmarkStart w:id="13" w:name="Opinion"/>
      <w:bookmarkEnd w:id="13"/>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MEMORANDUM</w:t>
      </w:r>
      <w:r>
        <w:rPr>
          <w:rFonts w:ascii="arial" w:eastAsia="arial" w:hAnsi="arial" w:cs="arial"/>
          <w:vertAlign w:val="superscript"/>
        </w:rPr>
        <w:footnoteReference w:customMarkFollows="1" w:id="3"/>
        <w:t xml:space="preserve">*</w:t>
      </w:r>
    </w:p>
    <w:p>
      <w:pPr>
        <w:keepNext w:val="0"/>
        <w:spacing w:before="240" w:after="0" w:line="260" w:lineRule="atLeast"/>
        <w:ind w:left="0" w:right="0" w:firstLine="0"/>
        <w:jc w:val="both"/>
      </w:pPr>
      <w:bookmarkStart w:id="15" w:name="Bookmark_para_3"/>
      <w:bookmarkEnd w:id="15"/>
      <w:bookmarkStart w:id="16" w:name="Bookmark_I6924YT52HM65J0020000400"/>
      <w:bookmarkEnd w:id="16"/>
      <w:r>
        <w:rPr>
          <w:rFonts w:ascii="arial" w:eastAsia="arial" w:hAnsi="arial" w:cs="arial"/>
          <w:b w:val="0"/>
          <w:i w:val="0"/>
          <w:strike w:val="0"/>
          <w:noProof w:val="0"/>
          <w:color w:val="000000"/>
          <w:position w:val="0"/>
          <w:sz w:val="20"/>
          <w:u w:val="none"/>
          <w:vertAlign w:val="baseline"/>
        </w:rPr>
        <w:t xml:space="preserve">Defendant Kathy Ann Henderickson timely appeals her conviction for cyberstalking in violation of </w:t>
      </w:r>
      <w:hyperlink r:id="rId11" w:history="1">
        <w:r>
          <w:rPr>
            <w:rFonts w:ascii="arial" w:eastAsia="arial" w:hAnsi="arial" w:cs="arial"/>
            <w:b w:val="0"/>
            <w:i/>
            <w:strike w:val="0"/>
            <w:noProof w:val="0"/>
            <w:color w:val="0077CC"/>
            <w:position w:val="0"/>
            <w:sz w:val="20"/>
            <w:u w:val="single"/>
            <w:vertAlign w:val="baseline"/>
          </w:rPr>
          <w:t>18 U.S.C. § 2261A(2)(B)</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4"/>
        <w:t xml:space="preserve">1</w:t>
      </w:r>
      <w:r>
        <w:rPr>
          <w:rFonts w:ascii="arial" w:eastAsia="arial" w:hAnsi="arial" w:cs="arial"/>
          <w:b w:val="0"/>
          <w:i w:val="0"/>
          <w:strike w:val="0"/>
          <w:noProof w:val="0"/>
          <w:color w:val="000000"/>
          <w:position w:val="0"/>
          <w:sz w:val="20"/>
          <w:u w:val="none"/>
          <w:vertAlign w:val="baseline"/>
        </w:rPr>
        <w:t xml:space="preserve"> Reviewing for abuse of discretion the district court's admission of evidence under </w:t>
      </w:r>
      <w:hyperlink r:id="rId12" w:history="1">
        <w:r>
          <w:rPr>
            <w:rFonts w:ascii="arial" w:eastAsia="arial" w:hAnsi="arial" w:cs="arial"/>
            <w:b w:val="0"/>
            <w:i/>
            <w:strike w:val="0"/>
            <w:noProof w:val="0"/>
            <w:color w:val="0077CC"/>
            <w:position w:val="0"/>
            <w:sz w:val="20"/>
            <w:u w:val="single"/>
            <w:vertAlign w:val="baseline"/>
          </w:rPr>
          <w:t>Federal Rules of Evidence 403</w:t>
        </w:r>
      </w:hyperlink>
      <w:r>
        <w:rPr>
          <w:rFonts w:ascii="arial" w:eastAsia="arial" w:hAnsi="arial" w:cs="arial"/>
          <w:b w:val="0"/>
          <w:i w:val="0"/>
          <w:strike w:val="0"/>
          <w:noProof w:val="0"/>
          <w:color w:val="000000"/>
          <w:position w:val="0"/>
          <w:sz w:val="20"/>
          <w:u w:val="none"/>
          <w:vertAlign w:val="baseline"/>
        </w:rPr>
        <w:t xml:space="preserve"> and </w:t>
      </w:r>
      <w:hyperlink r:id="rId13" w:history="1">
        <w:r>
          <w:rPr>
            <w:rFonts w:ascii="arial" w:eastAsia="arial" w:hAnsi="arial" w:cs="arial"/>
            <w:b w:val="0"/>
            <w:i/>
            <w:strike w:val="0"/>
            <w:noProof w:val="0"/>
            <w:color w:val="0077CC"/>
            <w:position w:val="0"/>
            <w:sz w:val="20"/>
            <w:u w:val="single"/>
            <w:vertAlign w:val="baseline"/>
          </w:rPr>
          <w:t>404(b)</w:t>
        </w:r>
      </w:hyperlink>
      <w:r>
        <w:rPr>
          <w:rFonts w:ascii="arial" w:eastAsia="arial" w:hAnsi="arial" w:cs="arial"/>
          <w:b w:val="0"/>
          <w:i w:val="0"/>
          <w:strike w:val="0"/>
          <w:noProof w:val="0"/>
          <w:color w:val="000000"/>
          <w:position w:val="0"/>
          <w:sz w:val="20"/>
          <w:u w:val="none"/>
          <w:vertAlign w:val="baseline"/>
        </w:rPr>
        <w:t xml:space="preserve">, </w:t>
      </w:r>
      <w:bookmarkStart w:id="18" w:name="Bookmark_I6924YT52HM65J0010000400"/>
      <w:bookmarkEnd w:id="18"/>
      <w:hyperlink r:id="rId14" w:history="1">
        <w:r>
          <w:rPr>
            <w:rFonts w:ascii="arial" w:eastAsia="arial" w:hAnsi="arial" w:cs="arial"/>
            <w:b w:val="0"/>
            <w:i/>
            <w:strike w:val="0"/>
            <w:noProof w:val="0"/>
            <w:color w:val="0077CC"/>
            <w:position w:val="0"/>
            <w:sz w:val="20"/>
            <w:u w:val="single"/>
            <w:vertAlign w:val="baseline"/>
          </w:rPr>
          <w:t>United States v. Berckmann</w:t>
        </w:r>
      </w:hyperlink>
      <w:hyperlink r:id="rId14" w:history="1">
        <w:r>
          <w:rPr>
            <w:rFonts w:ascii="arial" w:eastAsia="arial" w:hAnsi="arial" w:cs="arial"/>
            <w:b w:val="0"/>
            <w:i/>
            <w:strike w:val="0"/>
            <w:noProof w:val="0"/>
            <w:color w:val="0077CC"/>
            <w:position w:val="0"/>
            <w:sz w:val="20"/>
            <w:u w:val="single"/>
            <w:vertAlign w:val="baseline"/>
          </w:rPr>
          <w:t>, 971 F.3d 999, 1001 (9th Cir. 2020)</w:t>
        </w:r>
      </w:hyperlink>
      <w:r>
        <w:rPr>
          <w:rFonts w:ascii="arial" w:eastAsia="arial" w:hAnsi="arial" w:cs="arial"/>
          <w:b w:val="0"/>
          <w:i w:val="0"/>
          <w:strike w:val="0"/>
          <w:noProof w:val="0"/>
          <w:color w:val="000000"/>
          <w:position w:val="0"/>
          <w:sz w:val="20"/>
          <w:u w:val="none"/>
          <w:vertAlign w:val="baseline"/>
        </w:rPr>
        <w:t>, we affirm.</w:t>
      </w:r>
    </w:p>
    <w:p>
      <w:pPr>
        <w:keepNext w:val="0"/>
        <w:spacing w:before="240" w:after="0" w:line="260" w:lineRule="atLeast"/>
        <w:ind w:left="0" w:right="0" w:firstLine="0"/>
        <w:jc w:val="both"/>
      </w:pPr>
      <w:bookmarkStart w:id="19" w:name="Bookmark_para_4"/>
      <w:bookmarkEnd w:id="19"/>
      <w:bookmarkStart w:id="20" w:name="Bookmark_I6924YT52HM65J0040000400"/>
      <w:bookmarkEnd w:id="20"/>
      <w:r>
        <w:rPr>
          <w:rFonts w:ascii="arial" w:eastAsia="arial" w:hAnsi="arial" w:cs="arial"/>
          <w:b w:val="0"/>
          <w:i w:val="0"/>
          <w:strike w:val="0"/>
          <w:noProof w:val="0"/>
          <w:color w:val="000000"/>
          <w:position w:val="0"/>
          <w:sz w:val="20"/>
          <w:u w:val="none"/>
          <w:vertAlign w:val="baseline"/>
        </w:rPr>
        <w:t xml:space="preserve">1. </w:t>
      </w:r>
      <w:bookmarkStart w:id="21" w:name="Bookmark_I6924YT52D6N6N0010000400"/>
      <w:bookmarkEnd w:id="21"/>
      <w:r>
        <w:rPr>
          <w:rFonts w:ascii="arial" w:eastAsia="arial" w:hAnsi="arial" w:cs="arial"/>
          <w:b w:val="0"/>
          <w:i w:val="0"/>
          <w:strike w:val="0"/>
          <w:noProof w:val="0"/>
          <w:color w:val="000000"/>
          <w:position w:val="0"/>
          <w:sz w:val="20"/>
          <w:u w:val="none"/>
          <w:vertAlign w:val="baseline"/>
        </w:rPr>
        <w:t xml:space="preserve">The district court did not err by concluding that evidence of Defendant's prior acts was admissible under </w:t>
      </w:r>
      <w:hyperlink r:id="rId13" w:history="1">
        <w:r>
          <w:rPr>
            <w:rFonts w:ascii="arial" w:eastAsia="arial" w:hAnsi="arial" w:cs="arial"/>
            <w:b w:val="0"/>
            <w:i/>
            <w:strike w:val="0"/>
            <w:noProof w:val="0"/>
            <w:color w:val="0077CC"/>
            <w:position w:val="0"/>
            <w:sz w:val="20"/>
            <w:u w:val="single"/>
            <w:vertAlign w:val="baseline"/>
          </w:rPr>
          <w:t>Rule 404(b)</w:t>
        </w:r>
      </w:hyperlink>
      <w:r>
        <w:rPr>
          <w:rFonts w:ascii="arial" w:eastAsia="arial" w:hAnsi="arial" w:cs="arial"/>
          <w:b w:val="0"/>
          <w:i w:val="0"/>
          <w:strike w:val="0"/>
          <w:noProof w:val="0"/>
          <w:color w:val="000000"/>
          <w:position w:val="0"/>
          <w:sz w:val="20"/>
          <w:u w:val="none"/>
          <w:vertAlign w:val="baseline"/>
        </w:rPr>
        <w:t>. "</w:t>
      </w:r>
      <w:hyperlink r:id="rId13" w:history="1">
        <w:r>
          <w:rPr>
            <w:rFonts w:ascii="arial" w:eastAsia="arial" w:hAnsi="arial" w:cs="arial"/>
            <w:b w:val="0"/>
            <w:i/>
            <w:strike w:val="0"/>
            <w:noProof w:val="0"/>
            <w:color w:val="0077CC"/>
            <w:position w:val="0"/>
            <w:sz w:val="20"/>
            <w:u w:val="single"/>
            <w:vertAlign w:val="baseline"/>
          </w:rPr>
          <w:t>Rule 404(b)</w:t>
        </w:r>
      </w:hyperlink>
      <w:r>
        <w:rPr>
          <w:rFonts w:ascii="arial" w:eastAsia="arial" w:hAnsi="arial" w:cs="arial"/>
          <w:b w:val="0"/>
          <w:i w:val="0"/>
          <w:strike w:val="0"/>
          <w:noProof w:val="0"/>
          <w:color w:val="000000"/>
          <w:position w:val="0"/>
          <w:sz w:val="20"/>
          <w:u w:val="none"/>
          <w:vertAlign w:val="baseline"/>
        </w:rPr>
        <w:t xml:space="preserve"> permits evidence of prior wrongs or acts to show proof of motive, opportunity, intent, preparation, plan, knowledge, identity, or absence of mistake or accident." </w:t>
      </w:r>
      <w:bookmarkStart w:id="22" w:name="Bookmark_I6924YT52HM65J0030000400"/>
      <w:bookmarkEnd w:id="22"/>
      <w:hyperlink r:id="rId15" w:history="1">
        <w:r>
          <w:rPr>
            <w:rFonts w:ascii="arial" w:eastAsia="arial" w:hAnsi="arial" w:cs="arial"/>
            <w:b w:val="0"/>
            <w:i/>
            <w:strike w:val="0"/>
            <w:noProof w:val="0"/>
            <w:color w:val="0077CC"/>
            <w:position w:val="0"/>
            <w:sz w:val="20"/>
            <w:u w:val="single"/>
            <w:vertAlign w:val="baseline"/>
          </w:rPr>
          <w:t>United States v. Romero</w:t>
        </w:r>
      </w:hyperlink>
      <w:hyperlink r:id="rId15" w:history="1">
        <w:r>
          <w:rPr>
            <w:rFonts w:ascii="arial" w:eastAsia="arial" w:hAnsi="arial" w:cs="arial"/>
            <w:b w:val="0"/>
            <w:i/>
            <w:strike w:val="0"/>
            <w:noProof w:val="0"/>
            <w:color w:val="0077CC"/>
            <w:position w:val="0"/>
            <w:sz w:val="20"/>
            <w:u w:val="single"/>
            <w:vertAlign w:val="baseline"/>
          </w:rPr>
          <w:t>, 282 F.3d 683, 688 (9th Cir. 2002)</w:t>
        </w:r>
      </w:hyperlink>
      <w:r>
        <w:rPr>
          <w:rFonts w:ascii="arial" w:eastAsia="arial" w:hAnsi="arial" w:cs="arial"/>
          <w:b w:val="0"/>
          <w:i w:val="0"/>
          <w:strike w:val="0"/>
          <w:noProof w:val="0"/>
          <w:color w:val="000000"/>
          <w:position w:val="0"/>
          <w:sz w:val="20"/>
          <w:u w:val="none"/>
          <w:vertAlign w:val="baseline"/>
        </w:rPr>
        <w:t xml:space="preserve">. </w:t>
      </w:r>
      <w:bookmarkStart w:id="23" w:name="Bookmark_I6924YT52D6N6N0010000400_2"/>
      <w:bookmarkEnd w:id="23"/>
      <w:r>
        <w:rPr>
          <w:rFonts w:ascii="arial" w:eastAsia="arial" w:hAnsi="arial" w:cs="arial"/>
          <w:b w:val="0"/>
          <w:i w:val="0"/>
          <w:strike w:val="0"/>
          <w:noProof w:val="0"/>
          <w:color w:val="000000"/>
          <w:position w:val="0"/>
          <w:sz w:val="20"/>
          <w:u w:val="none"/>
          <w:vertAlign w:val="baseline"/>
        </w:rPr>
        <w:t xml:space="preserve">"Such evidence 'may be admitted if: (1) the evidence tends to prove a material point; (2) the other act is not too remote in time; (3) the evidence is sufficient to support a finding that defendant committed the other act; and (4) (in certain cases) the act is similar to the offense charged.'"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24" w:name="Bookmark_I6924YT52HM65J0050000400"/>
      <w:bookmarkEnd w:id="24"/>
      <w:hyperlink r:id="rId16" w:history="1">
        <w:r>
          <w:rPr>
            <w:rFonts w:ascii="arial" w:eastAsia="arial" w:hAnsi="arial" w:cs="arial"/>
            <w:b w:val="0"/>
            <w:i/>
            <w:strike w:val="0"/>
            <w:noProof w:val="0"/>
            <w:color w:val="0077CC"/>
            <w:position w:val="0"/>
            <w:sz w:val="20"/>
            <w:u w:val="single"/>
            <w:vertAlign w:val="baseline"/>
          </w:rPr>
          <w:t>United States v. Chea</w:t>
        </w:r>
      </w:hyperlink>
      <w:hyperlink r:id="rId16" w:history="1">
        <w:r>
          <w:rPr>
            <w:rFonts w:ascii="arial" w:eastAsia="arial" w:hAnsi="arial" w:cs="arial"/>
            <w:b w:val="0"/>
            <w:i/>
            <w:strike w:val="0"/>
            <w:noProof w:val="0"/>
            <w:color w:val="0077CC"/>
            <w:position w:val="0"/>
            <w:sz w:val="20"/>
            <w:u w:val="single"/>
            <w:vertAlign w:val="baseline"/>
          </w:rPr>
          <w:t>, 231 F.3d 531, 534 (9th Cir. 2000)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5" w:name="Bookmark_para_5"/>
      <w:bookmarkEnd w:id="25"/>
      <w:bookmarkStart w:id="26" w:name="Bookmark_I6924YT52D6N6N0030000400"/>
      <w:bookmarkEnd w:id="26"/>
      <w:r>
        <w:rPr>
          <w:rFonts w:ascii="arial" w:eastAsia="arial" w:hAnsi="arial" w:cs="arial"/>
          <w:b w:val="0"/>
          <w:i w:val="0"/>
          <w:strike w:val="0"/>
          <w:noProof w:val="0"/>
          <w:color w:val="000000"/>
          <w:position w:val="0"/>
          <w:sz w:val="20"/>
          <w:u w:val="none"/>
          <w:vertAlign w:val="baseline"/>
        </w:rPr>
        <w:t>The court acted</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within its discretion when it concluded that the prior acts evidence was material to knowledge and identity. </w:t>
      </w:r>
      <w:bookmarkStart w:id="27" w:name="Bookmark_I6924YT52D6N6N0050000400"/>
      <w:bookmarkEnd w:id="27"/>
      <w:r>
        <w:rPr>
          <w:rFonts w:ascii="arial" w:eastAsia="arial" w:hAnsi="arial" w:cs="arial"/>
          <w:b w:val="0"/>
          <w:i w:val="0"/>
          <w:strike w:val="0"/>
          <w:noProof w:val="0"/>
          <w:color w:val="000000"/>
          <w:position w:val="0"/>
          <w:sz w:val="20"/>
          <w:u w:val="none"/>
          <w:vertAlign w:val="baseline"/>
        </w:rPr>
        <w:t xml:space="preserve">"When the government's theory is one of knowledge—as here—this court has emphasized that the government must prove a logical connection between the knowledge gained as a result of the commission of the prior act and the knowledge at issue in the charged act." </w:t>
      </w:r>
      <w:bookmarkStart w:id="28" w:name="Bookmark_I6924YT52D6N6N0020000400"/>
      <w:bookmarkEnd w:id="28"/>
      <w:hyperlink r:id="rId17" w:history="1">
        <w:r>
          <w:rPr>
            <w:rFonts w:ascii="arial" w:eastAsia="arial" w:hAnsi="arial" w:cs="arial"/>
            <w:b w:val="0"/>
            <w:i/>
            <w:strike w:val="0"/>
            <w:noProof w:val="0"/>
            <w:color w:val="0077CC"/>
            <w:position w:val="0"/>
            <w:sz w:val="20"/>
            <w:u w:val="single"/>
            <w:vertAlign w:val="baseline"/>
          </w:rPr>
          <w:t>United States v. Mayans</w:t>
        </w:r>
      </w:hyperlink>
      <w:hyperlink r:id="rId17" w:history="1">
        <w:r>
          <w:rPr>
            <w:rFonts w:ascii="arial" w:eastAsia="arial" w:hAnsi="arial" w:cs="arial"/>
            <w:b w:val="0"/>
            <w:i/>
            <w:strike w:val="0"/>
            <w:noProof w:val="0"/>
            <w:color w:val="0077CC"/>
            <w:position w:val="0"/>
            <w:sz w:val="20"/>
            <w:u w:val="single"/>
            <w:vertAlign w:val="baseline"/>
          </w:rPr>
          <w:t>, 17 F.3d 1174, 1181-82 (9th Cir. 1994)</w:t>
        </w:r>
      </w:hyperlink>
      <w:r>
        <w:rPr>
          <w:rFonts w:ascii="arial" w:eastAsia="arial" w:hAnsi="arial" w:cs="arial"/>
          <w:b w:val="0"/>
          <w:i w:val="0"/>
          <w:strike w:val="0"/>
          <w:noProof w:val="0"/>
          <w:color w:val="000000"/>
          <w:position w:val="0"/>
          <w:sz w:val="20"/>
          <w:u w:val="none"/>
          <w:vertAlign w:val="baseline"/>
        </w:rPr>
        <w:t xml:space="preserve">. Here, Defendant's prior convictions show that she knew how to use technology to impersonate another individual and cover her tracks. </w:t>
      </w:r>
      <w:bookmarkStart w:id="29" w:name="Bookmark_I6924YT52D6N6N0050000400_2"/>
      <w:bookmarkEnd w:id="29"/>
      <w:r>
        <w:rPr>
          <w:rFonts w:ascii="arial" w:eastAsia="arial" w:hAnsi="arial" w:cs="arial"/>
          <w:b w:val="0"/>
          <w:i w:val="0"/>
          <w:strike w:val="0"/>
          <w:noProof w:val="0"/>
          <w:color w:val="000000"/>
          <w:position w:val="0"/>
          <w:sz w:val="20"/>
          <w:u w:val="single"/>
          <w:vertAlign w:val="baseline"/>
        </w:rPr>
        <w:t xml:space="preserve">See </w:t>
      </w:r>
      <w:bookmarkStart w:id="30" w:name="Bookmark_I6924YT52D6N6N0040000400"/>
      <w:bookmarkEnd w:id="30"/>
      <w:hyperlink r:id="rId18" w:history="1">
        <w:r>
          <w:rPr>
            <w:rFonts w:ascii="arial" w:eastAsia="arial" w:hAnsi="arial" w:cs="arial"/>
            <w:b w:val="0"/>
            <w:i/>
            <w:strike w:val="0"/>
            <w:noProof w:val="0"/>
            <w:color w:val="0077CC"/>
            <w:position w:val="0"/>
            <w:sz w:val="20"/>
            <w:u w:val="single"/>
            <w:vertAlign w:val="baseline"/>
          </w:rPr>
          <w:t>United States v. Ramos-Atondo</w:t>
        </w:r>
      </w:hyperlink>
      <w:hyperlink r:id="rId18" w:history="1">
        <w:r>
          <w:rPr>
            <w:rFonts w:ascii="arial" w:eastAsia="arial" w:hAnsi="arial" w:cs="arial"/>
            <w:b w:val="0"/>
            <w:i/>
            <w:strike w:val="0"/>
            <w:noProof w:val="0"/>
            <w:color w:val="0077CC"/>
            <w:position w:val="0"/>
            <w:sz w:val="20"/>
            <w:u w:val="single"/>
            <w:vertAlign w:val="baseline"/>
          </w:rPr>
          <w:t>, 732 F.3d 1113, 1123 (9th Cir. 2013)</w:t>
        </w:r>
      </w:hyperlink>
      <w:r>
        <w:rPr>
          <w:rFonts w:ascii="arial" w:eastAsia="arial" w:hAnsi="arial" w:cs="arial"/>
          <w:b w:val="0"/>
          <w:i w:val="0"/>
          <w:strike w:val="0"/>
          <w:noProof w:val="0"/>
          <w:color w:val="000000"/>
          <w:position w:val="0"/>
          <w:sz w:val="20"/>
          <w:u w:val="none"/>
          <w:vertAlign w:val="baseline"/>
        </w:rPr>
        <w:t xml:space="preserve"> (concluding that a defendant's prior conviction for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undocumented immigrants demonstrated knowledge of cross-border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procedures, which was evidence relevant to marijuana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charges). The prior acts also are similar enough to the charged conduct to demonstrate a modus operandi of using the email addresses of one-time romantic partners to send threatening messages to acquaintances.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(determining that "the conviction was also relevant to show a </w:t>
      </w:r>
      <w:r>
        <w:rPr>
          <w:rFonts w:ascii="arial" w:eastAsia="arial" w:hAnsi="arial" w:cs="arial"/>
          <w:b w:val="0"/>
          <w:i/>
          <w:strike w:val="0"/>
          <w:noProof w:val="0"/>
          <w:color w:val="000000"/>
          <w:position w:val="0"/>
          <w:sz w:val="20"/>
          <w:u w:val="none"/>
          <w:vertAlign w:val="baseline"/>
        </w:rPr>
        <w:t>modus operandi</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involving use of open panga boats that were to be unloaded on a dark beach in early morning hours").</w:t>
      </w:r>
    </w:p>
    <w:p>
      <w:pPr>
        <w:keepNext w:val="0"/>
        <w:spacing w:before="240" w:after="0" w:line="260" w:lineRule="atLeast"/>
        <w:ind w:left="0" w:right="0" w:firstLine="0"/>
        <w:jc w:val="both"/>
      </w:pPr>
      <w:bookmarkStart w:id="31" w:name="Bookmark_para_6"/>
      <w:bookmarkEnd w:id="31"/>
      <w:bookmarkStart w:id="32" w:name="Bookmark_I6924YT62D6N6W0020000400"/>
      <w:bookmarkEnd w:id="32"/>
      <w:r>
        <w:rPr>
          <w:rFonts w:ascii="arial" w:eastAsia="arial" w:hAnsi="arial" w:cs="arial"/>
          <w:b w:val="0"/>
          <w:i w:val="0"/>
          <w:strike w:val="0"/>
          <w:noProof w:val="0"/>
          <w:color w:val="000000"/>
          <w:position w:val="0"/>
          <w:sz w:val="20"/>
          <w:u w:val="none"/>
          <w:vertAlign w:val="baseline"/>
        </w:rPr>
        <w:t>The events underlying Defendant's prior convictions occurred seven and twelve years before</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her conduct in this case. But the court was within its discretion to conclude that the prior acts were not too remote in time, given the similarities between the conduct underlying those convictions and the conduct charged in this case. </w:t>
      </w:r>
      <w:r>
        <w:rPr>
          <w:rFonts w:ascii="arial" w:eastAsia="arial" w:hAnsi="arial" w:cs="arial"/>
          <w:b w:val="0"/>
          <w:i w:val="0"/>
          <w:strike w:val="0"/>
          <w:noProof w:val="0"/>
          <w:color w:val="000000"/>
          <w:position w:val="0"/>
          <w:sz w:val="20"/>
          <w:u w:val="single"/>
          <w:vertAlign w:val="baseline"/>
        </w:rPr>
        <w:t xml:space="preserve">See </w:t>
      </w:r>
      <w:bookmarkStart w:id="33" w:name="Bookmark_I6924YT62D6N6W0010000400"/>
      <w:bookmarkEnd w:id="33"/>
      <w:hyperlink r:id="rId19" w:history="1">
        <w:r>
          <w:rPr>
            <w:rFonts w:ascii="arial" w:eastAsia="arial" w:hAnsi="arial" w:cs="arial"/>
            <w:b w:val="0"/>
            <w:i/>
            <w:strike w:val="0"/>
            <w:noProof w:val="0"/>
            <w:color w:val="0077CC"/>
            <w:position w:val="0"/>
            <w:sz w:val="20"/>
            <w:u w:val="single"/>
            <w:vertAlign w:val="baseline"/>
          </w:rPr>
          <w:t>United States v. Johnson</w:t>
        </w:r>
      </w:hyperlink>
      <w:hyperlink r:id="rId19" w:history="1">
        <w:r>
          <w:rPr>
            <w:rFonts w:ascii="arial" w:eastAsia="arial" w:hAnsi="arial" w:cs="arial"/>
            <w:b w:val="0"/>
            <w:i/>
            <w:strike w:val="0"/>
            <w:noProof w:val="0"/>
            <w:color w:val="0077CC"/>
            <w:position w:val="0"/>
            <w:sz w:val="20"/>
            <w:u w:val="single"/>
            <w:vertAlign w:val="baseline"/>
          </w:rPr>
          <w:t>, 132 F.3d 1279, 1283 (9th Cir. 1997)</w:t>
        </w:r>
      </w:hyperlink>
      <w:r>
        <w:rPr>
          <w:rFonts w:ascii="arial" w:eastAsia="arial" w:hAnsi="arial" w:cs="arial"/>
          <w:b w:val="0"/>
          <w:i w:val="0"/>
          <w:strike w:val="0"/>
          <w:noProof w:val="0"/>
          <w:color w:val="000000"/>
          <w:position w:val="0"/>
          <w:sz w:val="20"/>
          <w:u w:val="none"/>
          <w:vertAlign w:val="baseline"/>
        </w:rPr>
        <w:t xml:space="preserve"> (concluding that prior act evidence of events thirteen years earlier was "sufficiently similar to the charged conduct to render it probative despite the passage of time").</w:t>
      </w:r>
    </w:p>
    <w:p>
      <w:pPr>
        <w:keepNext w:val="0"/>
        <w:spacing w:before="240" w:after="0" w:line="260" w:lineRule="atLeast"/>
        <w:ind w:left="0" w:right="0" w:firstLine="0"/>
        <w:jc w:val="both"/>
      </w:pPr>
      <w:bookmarkStart w:id="34" w:name="Bookmark_para_7"/>
      <w:bookmarkEnd w:id="34"/>
      <w:bookmarkStart w:id="35" w:name="Bookmark_I6924YT62D6N6W0040000400"/>
      <w:bookmarkEnd w:id="35"/>
      <w:r>
        <w:rPr>
          <w:rFonts w:ascii="arial" w:eastAsia="arial" w:hAnsi="arial" w:cs="arial"/>
          <w:b w:val="0"/>
          <w:i w:val="0"/>
          <w:strike w:val="0"/>
          <w:noProof w:val="0"/>
          <w:color w:val="000000"/>
          <w:position w:val="0"/>
          <w:sz w:val="20"/>
          <w:u w:val="none"/>
          <w:vertAlign w:val="baseline"/>
        </w:rPr>
        <w:t xml:space="preserve">2. The district court did not abuse its discretion by denying Defendant's </w:t>
      </w:r>
      <w:hyperlink r:id="rId12" w:history="1">
        <w:r>
          <w:rPr>
            <w:rFonts w:ascii="arial" w:eastAsia="arial" w:hAnsi="arial" w:cs="arial"/>
            <w:b w:val="0"/>
            <w:i/>
            <w:strike w:val="0"/>
            <w:noProof w:val="0"/>
            <w:color w:val="0077CC"/>
            <w:position w:val="0"/>
            <w:sz w:val="20"/>
            <w:u w:val="single"/>
            <w:vertAlign w:val="baseline"/>
          </w:rPr>
          <w:t>Rule 403</w:t>
        </w:r>
      </w:hyperlink>
      <w:r>
        <w:rPr>
          <w:rFonts w:ascii="arial" w:eastAsia="arial" w:hAnsi="arial" w:cs="arial"/>
          <w:b w:val="0"/>
          <w:i w:val="0"/>
          <w:strike w:val="0"/>
          <w:noProof w:val="0"/>
          <w:color w:val="000000"/>
          <w:position w:val="0"/>
          <w:sz w:val="20"/>
          <w:u w:val="none"/>
          <w:vertAlign w:val="baseline"/>
        </w:rPr>
        <w:t xml:space="preserve"> challenge to the prior acts evidence. </w:t>
      </w:r>
      <w:bookmarkStart w:id="36" w:name="Bookmark_I6924YT62D6N6X0030000400"/>
      <w:bookmarkEnd w:id="36"/>
      <w:hyperlink r:id="rId12" w:history="1">
        <w:r>
          <w:rPr>
            <w:rFonts w:ascii="arial" w:eastAsia="arial" w:hAnsi="arial" w:cs="arial"/>
            <w:b w:val="0"/>
            <w:i/>
            <w:strike w:val="0"/>
            <w:noProof w:val="0"/>
            <w:color w:val="0077CC"/>
            <w:position w:val="0"/>
            <w:sz w:val="20"/>
            <w:u w:val="single"/>
            <w:vertAlign w:val="baseline"/>
          </w:rPr>
          <w:t>Rule 403</w:t>
        </w:r>
      </w:hyperlink>
      <w:r>
        <w:rPr>
          <w:rFonts w:ascii="arial" w:eastAsia="arial" w:hAnsi="arial" w:cs="arial"/>
          <w:b w:val="0"/>
          <w:i w:val="0"/>
          <w:strike w:val="0"/>
          <w:noProof w:val="0"/>
          <w:color w:val="000000"/>
          <w:position w:val="0"/>
          <w:sz w:val="20"/>
          <w:u w:val="none"/>
          <w:vertAlign w:val="baseline"/>
        </w:rPr>
        <w:t xml:space="preserve"> "permits district courts to exclude relevant evidence if 'its probative value is substantially outweighed by the danger of unfair prejudice.'" </w:t>
      </w:r>
      <w:bookmarkStart w:id="37" w:name="Bookmark_I6924YT62D6N6W0030000400"/>
      <w:bookmarkEnd w:id="37"/>
      <w:hyperlink r:id="rId14" w:history="1">
        <w:r>
          <w:rPr>
            <w:rFonts w:ascii="arial" w:eastAsia="arial" w:hAnsi="arial" w:cs="arial"/>
            <w:b w:val="0"/>
            <w:i/>
            <w:strike w:val="0"/>
            <w:noProof w:val="0"/>
            <w:color w:val="0077CC"/>
            <w:position w:val="0"/>
            <w:sz w:val="20"/>
            <w:u w:val="single"/>
            <w:vertAlign w:val="baseline"/>
          </w:rPr>
          <w:t>Berckmann</w:t>
        </w:r>
      </w:hyperlink>
      <w:hyperlink r:id="rId14" w:history="1">
        <w:r>
          <w:rPr>
            <w:rFonts w:ascii="arial" w:eastAsia="arial" w:hAnsi="arial" w:cs="arial"/>
            <w:b w:val="0"/>
            <w:i/>
            <w:strike w:val="0"/>
            <w:noProof w:val="0"/>
            <w:color w:val="0077CC"/>
            <w:position w:val="0"/>
            <w:sz w:val="20"/>
            <w:u w:val="single"/>
            <w:vertAlign w:val="baseline"/>
          </w:rPr>
          <w:t>, 971 F.3d at 1004</w:t>
        </w:r>
      </w:hyperlink>
      <w:r>
        <w:rPr>
          <w:rFonts w:ascii="arial" w:eastAsia="arial" w:hAnsi="arial" w:cs="arial"/>
          <w:b w:val="0"/>
          <w:i w:val="0"/>
          <w:strike w:val="0"/>
          <w:noProof w:val="0"/>
          <w:color w:val="000000"/>
          <w:position w:val="0"/>
          <w:sz w:val="20"/>
          <w:u w:val="none"/>
          <w:vertAlign w:val="baseline"/>
        </w:rPr>
        <w:t xml:space="preserve"> (quoting </w:t>
      </w:r>
      <w:bookmarkStart w:id="38" w:name="Bookmark_I6924YT62D6N6W0050000400"/>
      <w:bookmarkEnd w:id="38"/>
      <w:hyperlink r:id="rId18" w:history="1">
        <w:r>
          <w:rPr>
            <w:rFonts w:ascii="arial" w:eastAsia="arial" w:hAnsi="arial" w:cs="arial"/>
            <w:b w:val="0"/>
            <w:i/>
            <w:strike w:val="0"/>
            <w:noProof w:val="0"/>
            <w:color w:val="0077CC"/>
            <w:position w:val="0"/>
            <w:sz w:val="20"/>
            <w:u w:val="single"/>
            <w:vertAlign w:val="baseline"/>
          </w:rPr>
          <w:t>Ramos-Atondo</w:t>
        </w:r>
      </w:hyperlink>
      <w:hyperlink r:id="rId18" w:history="1">
        <w:r>
          <w:rPr>
            <w:rFonts w:ascii="arial" w:eastAsia="arial" w:hAnsi="arial" w:cs="arial"/>
            <w:b w:val="0"/>
            <w:i/>
            <w:strike w:val="0"/>
            <w:noProof w:val="0"/>
            <w:color w:val="0077CC"/>
            <w:position w:val="0"/>
            <w:sz w:val="20"/>
            <w:u w:val="single"/>
            <w:vertAlign w:val="baseline"/>
          </w:rPr>
          <w:t>, 732 F.3d at 1123</w:t>
        </w:r>
      </w:hyperlink>
      <w:r>
        <w:rPr>
          <w:rFonts w:ascii="arial" w:eastAsia="arial" w:hAnsi="arial" w:cs="arial"/>
          <w:b w:val="0"/>
          <w:i w:val="0"/>
          <w:strike w:val="0"/>
          <w:noProof w:val="0"/>
          <w:color w:val="000000"/>
          <w:position w:val="0"/>
          <w:sz w:val="20"/>
          <w:u w:val="none"/>
          <w:vertAlign w:val="baseline"/>
        </w:rPr>
        <w:t xml:space="preserve">). </w:t>
      </w:r>
      <w:bookmarkStart w:id="39" w:name="Bookmark_I6924YT62D6N6X0030000400_2"/>
      <w:bookmarkEnd w:id="39"/>
      <w:r>
        <w:rPr>
          <w:rFonts w:ascii="arial" w:eastAsia="arial" w:hAnsi="arial" w:cs="arial"/>
          <w:b w:val="0"/>
          <w:i w:val="0"/>
          <w:strike w:val="0"/>
          <w:noProof w:val="0"/>
          <w:color w:val="000000"/>
          <w:position w:val="0"/>
          <w:sz w:val="20"/>
          <w:u w:val="none"/>
          <w:vertAlign w:val="baseline"/>
        </w:rPr>
        <w:t xml:space="preserve">Although the prior acts evidence may have been prejudicial to Defendant, that fact does not require its exclusion, particularly given its probative value when the main defense was that someone else could be responsible for the charged conduct. </w:t>
      </w:r>
      <w:bookmarkStart w:id="40" w:name="Bookmark_I6924YT62D6N6X0050000400"/>
      <w:bookmarkEnd w:id="40"/>
      <w:r>
        <w:rPr>
          <w:rFonts w:ascii="arial" w:eastAsia="arial" w:hAnsi="arial" w:cs="arial"/>
          <w:b w:val="0"/>
          <w:i w:val="0"/>
          <w:strike w:val="0"/>
          <w:noProof w:val="0"/>
          <w:color w:val="000000"/>
          <w:position w:val="0"/>
          <w:sz w:val="20"/>
          <w:u w:val="single"/>
          <w:vertAlign w:val="baseline"/>
        </w:rPr>
        <w:t xml:space="preserve">See </w:t>
      </w:r>
      <w:bookmarkStart w:id="41" w:name="Bookmark_I6924YT62D6N6X0020000400"/>
      <w:bookmarkEnd w:id="41"/>
      <w:hyperlink r:id="rId20" w:history="1">
        <w:r>
          <w:rPr>
            <w:rFonts w:ascii="arial" w:eastAsia="arial" w:hAnsi="arial" w:cs="arial"/>
            <w:b w:val="0"/>
            <w:i/>
            <w:strike w:val="0"/>
            <w:noProof w:val="0"/>
            <w:color w:val="0077CC"/>
            <w:position w:val="0"/>
            <w:sz w:val="20"/>
            <w:u w:val="single"/>
            <w:vertAlign w:val="baseline"/>
          </w:rPr>
          <w:t>United States v. Thornhill</w:t>
        </w:r>
      </w:hyperlink>
      <w:hyperlink r:id="rId20" w:history="1">
        <w:r>
          <w:rPr>
            <w:rFonts w:ascii="arial" w:eastAsia="arial" w:hAnsi="arial" w:cs="arial"/>
            <w:b w:val="0"/>
            <w:i/>
            <w:strike w:val="0"/>
            <w:noProof w:val="0"/>
            <w:color w:val="0077CC"/>
            <w:position w:val="0"/>
            <w:sz w:val="20"/>
            <w:u w:val="single"/>
            <w:vertAlign w:val="baseline"/>
          </w:rPr>
          <w:t>, 940 F.3d 1114, 1123 (9th Cir. 2019)</w:t>
        </w:r>
      </w:hyperlink>
      <w:r>
        <w:rPr>
          <w:rFonts w:ascii="arial" w:eastAsia="arial" w:hAnsi="arial" w:cs="arial"/>
          <w:b w:val="0"/>
          <w:i w:val="0"/>
          <w:strike w:val="0"/>
          <w:noProof w:val="0"/>
          <w:color w:val="000000"/>
          <w:position w:val="0"/>
          <w:sz w:val="20"/>
          <w:u w:val="none"/>
          <w:vertAlign w:val="baseline"/>
        </w:rPr>
        <w:t xml:space="preserve"> ("[E]ven where evidence is highly prejudicial, it is not necessarily unfairly prejudicial." (citation and emphases omitted)). </w:t>
      </w:r>
      <w:bookmarkStart w:id="42" w:name="Bookmark_I6924YT62D6N6X0050000400_2"/>
      <w:bookmarkEnd w:id="42"/>
      <w:r>
        <w:rPr>
          <w:rFonts w:ascii="arial" w:eastAsia="arial" w:hAnsi="arial" w:cs="arial"/>
          <w:b w:val="0"/>
          <w:i w:val="0"/>
          <w:strike w:val="0"/>
          <w:noProof w:val="0"/>
          <w:color w:val="000000"/>
          <w:position w:val="0"/>
          <w:sz w:val="20"/>
          <w:u w:val="none"/>
          <w:vertAlign w:val="baseline"/>
        </w:rPr>
        <w:t>And even for evidence with minimal probative value, including Defendant's own statements about her prior conviction for making a bomb threat,</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the district court properly mitigated any potential prejudice by giving limiting instructions at the time of the testimony and before the jury began deliberations. </w:t>
      </w:r>
      <w:r>
        <w:rPr>
          <w:rFonts w:ascii="arial" w:eastAsia="arial" w:hAnsi="arial" w:cs="arial"/>
          <w:b w:val="0"/>
          <w:i w:val="0"/>
          <w:strike w:val="0"/>
          <w:noProof w:val="0"/>
          <w:color w:val="000000"/>
          <w:position w:val="0"/>
          <w:sz w:val="20"/>
          <w:u w:val="single"/>
          <w:vertAlign w:val="baseline"/>
        </w:rPr>
        <w:t xml:space="preserve">See </w:t>
      </w:r>
      <w:bookmarkStart w:id="43" w:name="Bookmark_I6924YT62D6N6X0040000400"/>
      <w:bookmarkEnd w:id="43"/>
      <w:hyperlink r:id="rId14" w:history="1">
        <w:r>
          <w:rPr>
            <w:rFonts w:ascii="arial" w:eastAsia="arial" w:hAnsi="arial" w:cs="arial"/>
            <w:b w:val="0"/>
            <w:i/>
            <w:strike w:val="0"/>
            <w:noProof w:val="0"/>
            <w:color w:val="0077CC"/>
            <w:position w:val="0"/>
            <w:sz w:val="20"/>
            <w:u w:val="single"/>
            <w:vertAlign w:val="baseline"/>
          </w:rPr>
          <w:t>Berckmann</w:t>
        </w:r>
      </w:hyperlink>
      <w:hyperlink r:id="rId14" w:history="1">
        <w:r>
          <w:rPr>
            <w:rFonts w:ascii="arial" w:eastAsia="arial" w:hAnsi="arial" w:cs="arial"/>
            <w:b w:val="0"/>
            <w:i/>
            <w:strike w:val="0"/>
            <w:noProof w:val="0"/>
            <w:color w:val="0077CC"/>
            <w:position w:val="0"/>
            <w:sz w:val="20"/>
            <w:u w:val="single"/>
            <w:vertAlign w:val="baseline"/>
          </w:rPr>
          <w:t>, 971 F.3d at 1004</w:t>
        </w:r>
      </w:hyperlink>
      <w:r>
        <w:rPr>
          <w:rFonts w:ascii="arial" w:eastAsia="arial" w:hAnsi="arial" w:cs="arial"/>
          <w:b w:val="0"/>
          <w:i w:val="0"/>
          <w:strike w:val="0"/>
          <w:noProof w:val="0"/>
          <w:color w:val="000000"/>
          <w:position w:val="0"/>
          <w:sz w:val="20"/>
          <w:u w:val="none"/>
          <w:vertAlign w:val="baseline"/>
        </w:rPr>
        <w:t xml:space="preserve"> (noting that the district court's limiting instructions cabined prior acts evidence such that it was not unfairly prejudicial).</w:t>
      </w:r>
    </w:p>
    <w:p>
      <w:pPr>
        <w:keepNext w:val="0"/>
        <w:spacing w:before="200" w:after="0" w:line="260" w:lineRule="atLeast"/>
        <w:ind w:left="0" w:right="0" w:firstLine="0"/>
        <w:jc w:val="both"/>
      </w:pPr>
      <w:bookmarkStart w:id="44" w:name="Bookmark_para_8"/>
      <w:bookmarkEnd w:id="44"/>
      <w:r>
        <w:rPr>
          <w:rFonts w:ascii="arial" w:eastAsia="arial" w:hAnsi="arial" w:cs="arial"/>
          <w:b/>
          <w:i w:val="0"/>
          <w:strike w:val="0"/>
          <w:noProof w:val="0"/>
          <w:color w:val="000000"/>
          <w:position w:val="0"/>
          <w:sz w:val="20"/>
          <w:u w:val="none"/>
          <w:vertAlign w:val="baseline"/>
        </w:rPr>
        <w:t>AFFIRMED</w:t>
      </w:r>
      <w:r>
        <w:rPr>
          <w:rFonts w:ascii="arial" w:eastAsia="arial" w:hAnsi="arial" w:cs="arial"/>
          <w:b w:val="0"/>
          <w:i w:val="0"/>
          <w:strike w:val="0"/>
          <w:noProof w:val="0"/>
          <w:color w:val="000000"/>
          <w:position w:val="0"/>
          <w:sz w:val="20"/>
          <w:u w:val="none"/>
          <w:vertAlign w:val="baseline"/>
        </w:rPr>
        <w:t>.</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 </w:t>
      </w:r>
      <w:bookmarkStart w:id="0" w:name="Bookmark_fnpara_1"/>
      <w:bookmarkEnd w:id="0"/>
      <w:r>
        <w:rPr>
          <w:rFonts w:ascii="arial" w:eastAsia="arial" w:hAnsi="arial" w:cs="arial"/>
          <w:b w:val="0"/>
          <w:i w:val="0"/>
          <w:strike w:val="0"/>
          <w:noProof w:val="0"/>
          <w:color w:val="000000"/>
          <w:position w:val="0"/>
          <w:sz w:val="18"/>
          <w:u w:val="none"/>
          <w:vertAlign w:val="baseline"/>
        </w:rPr>
        <w:t>The panel unanimously concludes this case is suitable for decision without oral argument. See Fed. R. App. P. 34(a)(2).</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 </w:t>
      </w:r>
      <w:bookmarkStart w:id="14" w:name="Bookmark_fnpara_2"/>
      <w:bookmarkEnd w:id="14"/>
      <w:r>
        <w:rPr>
          <w:rFonts w:ascii="arial" w:eastAsia="arial" w:hAnsi="arial" w:cs="arial"/>
          <w:b w:val="0"/>
          <w:i w:val="0"/>
          <w:strike w:val="0"/>
          <w:noProof w:val="0"/>
          <w:color w:val="000000"/>
          <w:position w:val="0"/>
          <w:sz w:val="18"/>
          <w:u w:val="none"/>
          <w:vertAlign w:val="baseline"/>
        </w:rPr>
        <w:t xml:space="preserve">This disposition is not appropriate for publication and is not precedent except as provided by </w:t>
      </w:r>
      <w:hyperlink r:id="rId1" w:history="1">
        <w:r>
          <w:rPr>
            <w:rFonts w:ascii="arial" w:eastAsia="arial" w:hAnsi="arial" w:cs="arial"/>
            <w:b w:val="0"/>
            <w:i/>
            <w:strike w:val="0"/>
            <w:noProof w:val="0"/>
            <w:color w:val="0077CC"/>
            <w:position w:val="0"/>
            <w:sz w:val="18"/>
            <w:u w:val="single"/>
            <w:vertAlign w:val="baseline"/>
          </w:rPr>
          <w:t>Ninth Circuit Rule 36-3</w:t>
        </w:r>
      </w:hyperlink>
      <w:r>
        <w:rPr>
          <w:rFonts w:ascii="arial" w:eastAsia="arial" w:hAnsi="arial" w:cs="arial"/>
          <w:b w:val="0"/>
          <w:i w:val="0"/>
          <w:strike w:val="0"/>
          <w:noProof w:val="0"/>
          <w:color w:val="000000"/>
          <w:position w:val="0"/>
          <w:sz w:val="18"/>
          <w:u w:val="none"/>
          <w:vertAlign w:val="baseline"/>
        </w:rPr>
        <w:t>.</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7" w:name="Bookmark_fnpara_3"/>
      <w:bookmarkEnd w:id="17"/>
      <w:r>
        <w:rPr>
          <w:rFonts w:ascii="arial" w:eastAsia="arial" w:hAnsi="arial" w:cs="arial"/>
          <w:b w:val="0"/>
          <w:i w:val="0"/>
          <w:strike w:val="0"/>
          <w:noProof w:val="0"/>
          <w:color w:val="000000"/>
          <w:position w:val="0"/>
          <w:sz w:val="18"/>
          <w:u w:val="none"/>
          <w:vertAlign w:val="baseline"/>
        </w:rPr>
        <w:t xml:space="preserve">The indictment and the parties' briefing cite </w:t>
      </w:r>
      <w:hyperlink r:id="rId2" w:history="1">
        <w:r>
          <w:rPr>
            <w:rFonts w:ascii="arial" w:eastAsia="arial" w:hAnsi="arial" w:cs="arial"/>
            <w:b w:val="0"/>
            <w:i/>
            <w:strike w:val="0"/>
            <w:noProof w:val="0"/>
            <w:color w:val="0077CC"/>
            <w:position w:val="0"/>
            <w:sz w:val="18"/>
            <w:u w:val="single"/>
            <w:vertAlign w:val="baseline"/>
          </w:rPr>
          <w:t>18 U.S.C. § 2261A(2)(B)</w:t>
        </w:r>
      </w:hyperlink>
      <w:r>
        <w:rPr>
          <w:rFonts w:ascii="arial" w:eastAsia="arial" w:hAnsi="arial" w:cs="arial"/>
          <w:b w:val="0"/>
          <w:i w:val="0"/>
          <w:strike w:val="0"/>
          <w:noProof w:val="0"/>
          <w:color w:val="000000"/>
          <w:position w:val="0"/>
          <w:sz w:val="18"/>
          <w:u w:val="none"/>
          <w:vertAlign w:val="baseline"/>
        </w:rPr>
        <w:t xml:space="preserve">, which applies to the charged conduct. The citations to </w:t>
      </w:r>
      <w:hyperlink r:id="rId3" w:history="1">
        <w:r>
          <w:rPr>
            <w:rFonts w:ascii="arial" w:eastAsia="arial" w:hAnsi="arial" w:cs="arial"/>
            <w:b w:val="0"/>
            <w:i/>
            <w:strike w:val="0"/>
            <w:noProof w:val="0"/>
            <w:color w:val="0077CC"/>
            <w:position w:val="0"/>
            <w:sz w:val="18"/>
            <w:u w:val="single"/>
            <w:vertAlign w:val="baseline"/>
          </w:rPr>
          <w:t>18 U.S.C. § 2261</w:t>
        </w:r>
      </w:hyperlink>
      <w:r>
        <w:rPr>
          <w:rFonts w:ascii="arial" w:eastAsia="arial" w:hAnsi="arial" w:cs="arial"/>
          <w:b w:val="0"/>
          <w:i w:val="0"/>
          <w:strike w:val="0"/>
          <w:noProof w:val="0"/>
          <w:color w:val="000000"/>
          <w:position w:val="0"/>
          <w:sz w:val="18"/>
          <w:u w:val="none"/>
          <w:vertAlign w:val="baseline"/>
        </w:rPr>
        <w:t>.F in the judgment and the district court docket are typographical errors.</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Henderickson, 2023 U.S. App. LEXIS 22336</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9G3-KP21-JXNB-610H-00000-00&amp;context=1519360" TargetMode="External" /><Relationship Id="rId11" Type="http://schemas.openxmlformats.org/officeDocument/2006/relationships/hyperlink" Target="https://advance.lexis.com/api/document?collection=statutes-legislation&amp;id=urn:contentItem:61MJ-2863-GXJ9-3211-00000-00&amp;context=1519360" TargetMode="External" /><Relationship Id="rId12" Type="http://schemas.openxmlformats.org/officeDocument/2006/relationships/hyperlink" Target="https://advance.lexis.com/api/document?collection=statutes-legislation&amp;id=urn:contentItem:5GYC-2991-FG36-11XB-00000-00&amp;context=1519360" TargetMode="External" /><Relationship Id="rId13" Type="http://schemas.openxmlformats.org/officeDocument/2006/relationships/hyperlink" Target="https://advance.lexis.com/api/document?collection=statutes-legislation&amp;id=urn:contentItem:6182-R703-GXJ9-32BN-00000-00&amp;context=1519360" TargetMode="External" /><Relationship Id="rId14" Type="http://schemas.openxmlformats.org/officeDocument/2006/relationships/hyperlink" Target="https://advance.lexis.com/api/document?collection=cases&amp;id=urn:contentItem:60MT-8951-FH4C-X0HR-00000-00&amp;context=1519360" TargetMode="External" /><Relationship Id="rId15" Type="http://schemas.openxmlformats.org/officeDocument/2006/relationships/hyperlink" Target="https://advance.lexis.com/api/document?collection=cases&amp;id=urn:contentItem:458X-MTS0-0038-X08S-00000-00&amp;context=1519360" TargetMode="External" /><Relationship Id="rId16" Type="http://schemas.openxmlformats.org/officeDocument/2006/relationships/hyperlink" Target="https://advance.lexis.com/api/document?collection=cases&amp;id=urn:contentItem:41NT-K1R0-0038-X2YT-00000-00&amp;context=1519360" TargetMode="External" /><Relationship Id="rId17" Type="http://schemas.openxmlformats.org/officeDocument/2006/relationships/hyperlink" Target="https://advance.lexis.com/api/document?collection=cases&amp;id=urn:contentItem:3S4X-8N40-003B-P187-00000-00&amp;context=1519360" TargetMode="External" /><Relationship Id="rId18" Type="http://schemas.openxmlformats.org/officeDocument/2006/relationships/hyperlink" Target="https://advance.lexis.com/api/document?collection=cases&amp;id=urn:contentItem:59JM-5001-F04K-V19Y-00000-00&amp;context=1519360" TargetMode="External" /><Relationship Id="rId19" Type="http://schemas.openxmlformats.org/officeDocument/2006/relationships/hyperlink" Target="https://advance.lexis.com/api/document?collection=cases&amp;id=urn:contentItem:3RPS-0N30-0038-X331-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5X8P-5VW1-F57G-S435-00000-00&amp;context=1519360" TargetMode="External" /><Relationship Id="rId21" Type="http://schemas.openxmlformats.org/officeDocument/2006/relationships/theme" Target="theme/theme1.xml" /><Relationship Id="rId22" Type="http://schemas.openxmlformats.org/officeDocument/2006/relationships/styles" Target="style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915-CG81-F2MB-S0MK-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8KYR-5452-D6RV-H4P6-00000-00&amp;context=1519360" TargetMode="External" /><Relationship Id="rId2" Type="http://schemas.openxmlformats.org/officeDocument/2006/relationships/hyperlink" Target="https://advance.lexis.com/api/document?collection=statutes-legislation&amp;id=urn:contentItem:61MJ-2863-GXJ9-3211-00000-00&amp;context=1519360" TargetMode="External" /><Relationship Id="rId3" Type="http://schemas.openxmlformats.org/officeDocument/2006/relationships/hyperlink" Target="https://advance.lexis.com/api/document?collection=statutes-legislation&amp;id=urn:contentItem:8SG9-5042-D6RV-H0V7-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Henderickson, 2023 U.S. App. LEXIS 22336</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82</vt:lpwstr>
  </property>
  <property fmtid="{D5CDD505-2E9C-101B-9397-08002B2CF9AE}" pid="3" name="LADocCount">
    <vt:lpwstr>1</vt:lpwstr>
  </property>
  <property fmtid="{D5CDD505-2E9C-101B-9397-08002B2CF9AE}" pid="4" name="LADocumentID:82">
    <vt:lpwstr>Doc::urn:hlct:5|contextualFeaturePermID::1519360</vt:lpwstr>
  </property>
  <property fmtid="{D5CDD505-2E9C-101B-9397-08002B2CF9AE}" pid="5" name="UserPermID">
    <vt:lpwstr>urn:user:PA186186280</vt:lpwstr>
  </property>
</Properties>
</file>