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United States v. Shirey</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Western District of Texas, Pecos Division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14, 2023, Decided; April 14,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 PE:21-CR-00156-DC-2; PE:22-CV-00042</w:t>
      </w:r>
    </w:p>
    <w:p>
      <w:pPr>
        <w:keepNext w:val="0"/>
        <w:spacing w:after="0" w:line="240" w:lineRule="atLeast"/>
        <w:ind w:right="0"/>
        <w:jc w:val="both"/>
      </w:pPr>
      <w:bookmarkStart w:id="0" w:name="Bookmark_86"/>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Dist. LEXIS 65587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2959150</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UNITED STATES OF AMERICA v. (2) CORNELIA SHIREY</w:t>
      </w:r>
    </w:p>
    <w:p>
      <w:pPr>
        <w:keepNext/>
        <w:spacing w:before="240" w:after="0" w:line="340" w:lineRule="atLeast"/>
        <w:ind w:left="0" w:right="0" w:firstLine="0"/>
        <w:jc w:val="left"/>
      </w:pPr>
      <w:bookmarkStart w:id="2" w:name="Core Terms"/>
      <w:bookmarkEnd w:id="2"/>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Vacate, factual basis, sentence, guilty plea,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certificate, transportation, smugglers, asserts, evidentiary hearing, re-arraignment, immigration, illegal alien, inconsistencies, ineffective, guidelines, rights, alien</w:t>
      </w:r>
    </w:p>
    <w:p>
      <w:pPr>
        <w:keepNext w:val="0"/>
        <w:spacing w:before="240" w:after="0" w:line="260" w:lineRule="atLeast"/>
        <w:ind w:left="0" w:right="0" w:firstLine="0"/>
        <w:jc w:val="left"/>
      </w:pPr>
      <w:bookmarkStart w:id="3" w:name="Counsel"/>
      <w:bookmarkEnd w:id="3"/>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For USA, Plaintiff (4:21-cr-00156-DC-DF): Amy Lynn Greenbaum, LEAD ATTORNEY, U.S. Attorney's Office, Alpine, TX USA; Kevin Cayton, LEAD ATTORNEY, U.S. Attorney's Office, Alpine, TX; Mark Tindall, LEAD ATTORNEY, United States Attorneys Office, Austin, TX.</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Cornelia Shirey, Plaintiff (4:22-cv-00042-DC), Pro se.</w:t>
      </w:r>
    </w:p>
    <w:p>
      <w:pPr>
        <w:keepNext w:val="0"/>
        <w:spacing w:before="240" w:after="0" w:line="260" w:lineRule="atLeast"/>
        <w:ind w:left="0" w:right="0" w:firstLine="0"/>
        <w:jc w:val="left"/>
      </w:pPr>
      <w:bookmarkStart w:id="4" w:name="Judges"/>
      <w:bookmarkEnd w:id="4"/>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DAVID COUNTS, UNITED STATES DISTRICT JUDGE.</w:t>
      </w:r>
    </w:p>
    <w:p>
      <w:pPr>
        <w:keepNext w:val="0"/>
        <w:spacing w:before="240" w:after="0" w:line="260" w:lineRule="atLeast"/>
        <w:ind w:left="0" w:right="0" w:firstLine="0"/>
        <w:jc w:val="left"/>
      </w:pPr>
      <w:bookmarkStart w:id="5" w:name="Opinion by"/>
      <w:bookmarkEnd w:id="5"/>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DAVID COUNTS</w:t>
      </w:r>
    </w:p>
    <w:p>
      <w:pPr>
        <w:keepNext/>
        <w:spacing w:before="240" w:after="0" w:line="340" w:lineRule="atLeast"/>
        <w:ind w:left="0" w:right="0" w:firstLine="0"/>
        <w:jc w:val="left"/>
      </w:pPr>
      <w:bookmarkStart w:id="6" w:name="Opinion"/>
      <w:bookmarkEnd w:id="6"/>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ORDER</w:t>
      </w:r>
    </w:p>
    <w:p>
      <w:pPr>
        <w:keepNext w:val="0"/>
        <w:spacing w:before="200" w:after="0" w:line="260" w:lineRule="atLeast"/>
        <w:ind w:left="0" w:right="0" w:firstLine="0"/>
        <w:jc w:val="both"/>
      </w:pPr>
      <w:bookmarkStart w:id="7" w:name="Bookmark_para_1"/>
      <w:bookmarkEnd w:id="7"/>
      <w:r>
        <w:rPr>
          <w:rFonts w:ascii="arial" w:eastAsia="arial" w:hAnsi="arial" w:cs="arial"/>
          <w:b w:val="0"/>
          <w:i w:val="0"/>
          <w:strike w:val="0"/>
          <w:noProof w:val="0"/>
          <w:color w:val="000000"/>
          <w:position w:val="0"/>
          <w:sz w:val="20"/>
          <w:u w:val="none"/>
          <w:vertAlign w:val="baseline"/>
        </w:rPr>
        <w:t xml:space="preserve">BEFORE THE COURT is Defendant Cornelia Shirey's ("Defendant") Motion to Vacate, Set Aside, or Correct Sentence (hereafter, "Motion to Vacate"), filed under </w:t>
      </w:r>
      <w:hyperlink r:id="rId10" w:history="1">
        <w:r>
          <w:rPr>
            <w:rFonts w:ascii="arial" w:eastAsia="arial" w:hAnsi="arial" w:cs="arial"/>
            <w:b w:val="0"/>
            <w:i/>
            <w:strike w:val="0"/>
            <w:noProof w:val="0"/>
            <w:color w:val="0077CC"/>
            <w:position w:val="0"/>
            <w:sz w:val="20"/>
            <w:u w:val="single"/>
            <w:vertAlign w:val="baseline"/>
          </w:rPr>
          <w:t>28 U.S.C. § 2255</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After due consideration, Defendant's Motion to Vacate shall be </w:t>
      </w:r>
      <w:r>
        <w:rPr>
          <w:rFonts w:ascii="arial" w:eastAsia="arial" w:hAnsi="arial" w:cs="arial"/>
          <w:b/>
          <w:i w:val="0"/>
          <w:strike w:val="0"/>
          <w:noProof w:val="0"/>
          <w:color w:val="000000"/>
          <w:position w:val="0"/>
          <w:sz w:val="20"/>
          <w:u w:val="none"/>
          <w:vertAlign w:val="baseline"/>
        </w:rPr>
        <w:t>DENIED</w:t>
      </w:r>
      <w:r>
        <w:rPr>
          <w:rFonts w:ascii="arial" w:eastAsia="arial" w:hAnsi="arial" w:cs="arial"/>
          <w:b w:val="0"/>
          <w:i w:val="0"/>
          <w:strike w:val="0"/>
          <w:noProof w:val="0"/>
          <w:color w:val="000000"/>
          <w:position w:val="0"/>
          <w:sz w:val="20"/>
          <w:u w:val="none"/>
          <w:vertAlign w:val="baseline"/>
        </w:rPr>
        <w:t>. (Doc. 74).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I. </w:t>
      </w:r>
      <w:r>
        <w:rPr>
          <w:rFonts w:ascii="arial" w:eastAsia="arial" w:hAnsi="arial" w:cs="arial"/>
          <w:b/>
          <w:i w:val="0"/>
          <w:smallCaps/>
          <w:strike w:val="0"/>
          <w:noProof w:val="0"/>
          <w:color w:val="000000"/>
          <w:position w:val="0"/>
          <w:sz w:val="20"/>
          <w:u w:val="none"/>
          <w:vertAlign w:val="baseline"/>
        </w:rPr>
        <w:t>Background</w:t>
      </w:r>
    </w:p>
    <w:p>
      <w:pPr>
        <w:keepNext w:val="0"/>
        <w:spacing w:before="200" w:after="0" w:line="260" w:lineRule="atLeast"/>
        <w:ind w:left="0" w:right="0" w:firstLine="0"/>
        <w:jc w:val="both"/>
      </w:pPr>
      <w:bookmarkStart w:id="9" w:name="Bookmark_para_2"/>
      <w:bookmarkEnd w:id="9"/>
      <w:r>
        <w:rPr>
          <w:rFonts w:ascii="arial" w:eastAsia="arial" w:hAnsi="arial" w:cs="arial"/>
          <w:b w:val="0"/>
          <w:i w:val="0"/>
          <w:strike w:val="0"/>
          <w:noProof w:val="0"/>
          <w:color w:val="000000"/>
          <w:position w:val="0"/>
          <w:sz w:val="20"/>
          <w:u w:val="none"/>
          <w:vertAlign w:val="baseline"/>
        </w:rPr>
        <w:t>On July 14, 2021, Defendant pleaded guilty without a plea agreement to one count of conspiracy to transport illegal aliens ("Count One") and one count of aiding and abetting the transportation of illegal aliens ("Count Two").</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On October 26, 2021, Defendant was sentenced to ten (10) months' imprisonment on Count One, and ten (10) months' imprisonment on Count Two, to run concurrently.</w:t>
      </w:r>
      <w:r>
        <w:rPr>
          <w:rFonts w:ascii="arial" w:eastAsia="arial" w:hAnsi="arial" w:cs="arial"/>
          <w:vertAlign w:val="superscript"/>
        </w:rPr>
        <w:footnoteReference w:customMarkFollows="1" w:id="4"/>
        <w:t xml:space="preserve">3</w:t>
      </w:r>
    </w:p>
    <w:p>
      <w:pPr>
        <w:keepNext w:val="0"/>
        <w:spacing w:before="200" w:after="0" w:line="260" w:lineRule="atLeast"/>
        <w:ind w:left="0" w:right="0" w:firstLine="0"/>
        <w:jc w:val="both"/>
      </w:pPr>
      <w:bookmarkStart w:id="14" w:name="Bookmark_para_3"/>
      <w:bookmarkEnd w:id="14"/>
      <w:r>
        <w:rPr>
          <w:rFonts w:ascii="arial" w:eastAsia="arial" w:hAnsi="arial" w:cs="arial"/>
          <w:b w:val="0"/>
          <w:i w:val="0"/>
          <w:strike w:val="0"/>
          <w:noProof w:val="0"/>
          <w:color w:val="000000"/>
          <w:position w:val="0"/>
          <w:sz w:val="20"/>
          <w:u w:val="none"/>
          <w:vertAlign w:val="baseline"/>
        </w:rPr>
        <w:t xml:space="preserve">Defendant filed </w:t>
      </w:r>
      <w:r>
        <w:rPr>
          <w:rFonts w:ascii="arial" w:eastAsia="arial" w:hAnsi="arial" w:cs="arial"/>
          <w:b w:val="0"/>
          <w:i/>
          <w:strike w:val="0"/>
          <w:noProof w:val="0"/>
          <w:color w:val="000000"/>
          <w:position w:val="0"/>
          <w:sz w:val="20"/>
          <w:u w:val="none"/>
          <w:vertAlign w:val="baseline"/>
        </w:rPr>
        <w:t>pro se</w:t>
      </w:r>
      <w:r>
        <w:rPr>
          <w:rFonts w:ascii="arial" w:eastAsia="arial" w:hAnsi="arial" w:cs="arial"/>
          <w:b w:val="0"/>
          <w:i w:val="0"/>
          <w:strike w:val="0"/>
          <w:noProof w:val="0"/>
          <w:color w:val="000000"/>
          <w:position w:val="0"/>
          <w:sz w:val="20"/>
          <w:u w:val="none"/>
          <w:vertAlign w:val="baseline"/>
        </w:rPr>
        <w:t xml:space="preserve"> her Motion to Vacate on October 17, 2022. The Government filed a Response on January 8, 2023.</w:t>
      </w:r>
      <w:r>
        <w:rPr>
          <w:rFonts w:ascii="arial" w:eastAsia="arial" w:hAnsi="arial" w:cs="arial"/>
          <w:vertAlign w:val="superscript"/>
        </w:rPr>
        <w:footnoteReference w:customMarkFollows="1" w:id="5"/>
        <w:t xml:space="preserve">4</w:t>
      </w:r>
      <w:r>
        <w:rPr>
          <w:rFonts w:ascii="arial" w:eastAsia="arial" w:hAnsi="arial" w:cs="arial"/>
          <w:b w:val="0"/>
          <w:i w:val="0"/>
          <w:strike w:val="0"/>
          <w:noProof w:val="0"/>
          <w:color w:val="000000"/>
          <w:position w:val="0"/>
          <w:sz w:val="20"/>
          <w:u w:val="none"/>
          <w:vertAlign w:val="baseline"/>
        </w:rPr>
        <w:t xml:space="preserve"> Defendant has not filed a Reply. This case is now ripe for disposition.</w:t>
      </w:r>
      <w:r>
        <w:rPr>
          <w:rFonts w:ascii="arial" w:eastAsia="arial" w:hAnsi="arial" w:cs="arial"/>
          <w:b/>
          <w:i w:val="0"/>
          <w:strike w:val="0"/>
          <w:noProof w:val="0"/>
          <w:color w:val="000000"/>
          <w:position w:val="0"/>
          <w:sz w:val="20"/>
          <w:u w:val="none"/>
          <w:vertAlign w:val="baseline"/>
        </w:rPr>
        <w:t> [*2]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II. </w:t>
      </w:r>
      <w:r>
        <w:rPr>
          <w:rFonts w:ascii="arial" w:eastAsia="arial" w:hAnsi="arial" w:cs="arial"/>
          <w:b/>
          <w:i w:val="0"/>
          <w:smallCaps/>
          <w:strike w:val="0"/>
          <w:noProof w:val="0"/>
          <w:color w:val="000000"/>
          <w:position w:val="0"/>
          <w:sz w:val="20"/>
          <w:u w:val="none"/>
          <w:vertAlign w:val="baseline"/>
        </w:rPr>
        <w:t>Legal Standard</w:t>
      </w:r>
    </w:p>
    <w:p>
      <w:pPr>
        <w:keepNext w:val="0"/>
        <w:spacing w:before="240" w:after="0" w:line="260" w:lineRule="atLeast"/>
        <w:ind w:left="0" w:right="0" w:firstLine="0"/>
        <w:jc w:val="both"/>
      </w:pPr>
      <w:bookmarkStart w:id="16" w:name="Bookmark_para_4"/>
      <w:bookmarkEnd w:id="16"/>
      <w:bookmarkStart w:id="17" w:name="Bookmark_I6820TTV2SF81C0040000400"/>
      <w:bookmarkEnd w:id="17"/>
      <w:bookmarkStart w:id="18" w:name="Bookmark_I6820TTV2SF81F0010000400"/>
      <w:bookmarkEnd w:id="18"/>
      <w:bookmarkStart w:id="19" w:name="Bookmark_I6820TTV2SF81F0030000400"/>
      <w:bookmarkEnd w:id="19"/>
      <w:hyperlink r:id="rId10" w:history="1">
        <w:r>
          <w:rPr>
            <w:rFonts w:ascii="arial" w:eastAsia="arial" w:hAnsi="arial" w:cs="arial"/>
            <w:b w:val="0"/>
            <w:i/>
            <w:strike w:val="0"/>
            <w:color w:val="0077CC"/>
            <w:sz w:val="20"/>
            <w:u w:val="single"/>
            <w:vertAlign w:val="baseline"/>
          </w:rPr>
          <w:t>Section 2255</w:t>
        </w:r>
      </w:hyperlink>
      <w:r>
        <w:rPr>
          <w:rFonts w:ascii="arial" w:eastAsia="arial" w:hAnsi="arial" w:cs="arial"/>
          <w:b w:val="0"/>
          <w:i w:val="0"/>
          <w:strike w:val="0"/>
          <w:noProof w:val="0"/>
          <w:color w:val="000000"/>
          <w:position w:val="0"/>
          <w:sz w:val="20"/>
          <w:u w:val="none"/>
          <w:vertAlign w:val="baseline"/>
        </w:rPr>
        <w:t xml:space="preserve"> permits an inmate serving a post-conviction sentence "to move the court which imposed the sentence to vacate, set aside or correct the sentence."</w:t>
      </w:r>
      <w:r>
        <w:rPr>
          <w:rFonts w:ascii="arial" w:eastAsia="arial" w:hAnsi="arial" w:cs="arial"/>
          <w:vertAlign w:val="superscript"/>
        </w:rPr>
        <w:footnoteReference w:customMarkFollows="1" w:id="6"/>
        <w:t xml:space="preserve">5</w:t>
      </w:r>
      <w:r>
        <w:rPr>
          <w:rFonts w:ascii="arial" w:eastAsia="arial" w:hAnsi="arial" w:cs="arial"/>
          <w:b w:val="0"/>
          <w:i w:val="0"/>
          <w:strike w:val="0"/>
          <w:noProof w:val="0"/>
          <w:color w:val="000000"/>
          <w:position w:val="0"/>
          <w:sz w:val="20"/>
          <w:u w:val="none"/>
          <w:vertAlign w:val="baseline"/>
        </w:rPr>
        <w:t xml:space="preserve"> Relief under </w:t>
      </w:r>
      <w:hyperlink r:id="rId10" w:history="1">
        <w:r>
          <w:rPr>
            <w:rFonts w:ascii="arial" w:eastAsia="arial" w:hAnsi="arial" w:cs="arial"/>
            <w:b w:val="0"/>
            <w:i/>
            <w:strike w:val="0"/>
            <w:noProof w:val="0"/>
            <w:color w:val="0077CC"/>
            <w:position w:val="0"/>
            <w:sz w:val="20"/>
            <w:u w:val="single"/>
            <w:vertAlign w:val="baseline"/>
          </w:rPr>
          <w:t>§ 2255</w:t>
        </w:r>
      </w:hyperlink>
      <w:r>
        <w:rPr>
          <w:rFonts w:ascii="arial" w:eastAsia="arial" w:hAnsi="arial" w:cs="arial"/>
          <w:b w:val="0"/>
          <w:i w:val="0"/>
          <w:strike w:val="0"/>
          <w:noProof w:val="0"/>
          <w:color w:val="000000"/>
          <w:position w:val="0"/>
          <w:sz w:val="20"/>
          <w:u w:val="none"/>
          <w:vertAlign w:val="baseline"/>
        </w:rPr>
        <w:t xml:space="preserve"> is limited to "transgressions of constitutional rights and for a narrow range of injuries that could not have been raised on direct appeal and would, if condoned, result in a complete miscarriage of justice."</w:t>
      </w:r>
      <w:r>
        <w:rPr>
          <w:rFonts w:ascii="arial" w:eastAsia="arial" w:hAnsi="arial" w:cs="arial"/>
          <w:vertAlign w:val="superscript"/>
        </w:rPr>
        <w:footnoteReference w:customMarkFollows="1" w:id="7"/>
        <w:t xml:space="preserve">6</w:t>
      </w:r>
      <w:r>
        <w:rPr>
          <w:rFonts w:ascii="arial" w:eastAsia="arial" w:hAnsi="arial" w:cs="arial"/>
          <w:b w:val="0"/>
          <w:i w:val="0"/>
          <w:strike w:val="0"/>
          <w:noProof w:val="0"/>
          <w:color w:val="000000"/>
          <w:position w:val="0"/>
          <w:sz w:val="20"/>
          <w:u w:val="none"/>
          <w:vertAlign w:val="baseline"/>
        </w:rPr>
        <w:t xml:space="preserve"> A motion may be made under </w:t>
      </w:r>
      <w:hyperlink r:id="rId10" w:history="1">
        <w:r>
          <w:rPr>
            <w:rFonts w:ascii="arial" w:eastAsia="arial" w:hAnsi="arial" w:cs="arial"/>
            <w:b w:val="0"/>
            <w:i/>
            <w:strike w:val="0"/>
            <w:noProof w:val="0"/>
            <w:color w:val="0077CC"/>
            <w:position w:val="0"/>
            <w:sz w:val="20"/>
            <w:u w:val="single"/>
            <w:vertAlign w:val="baseline"/>
          </w:rPr>
          <w:t>§ 2255</w:t>
        </w:r>
      </w:hyperlink>
      <w:r>
        <w:rPr>
          <w:rFonts w:ascii="arial" w:eastAsia="arial" w:hAnsi="arial" w:cs="arial"/>
          <w:b w:val="0"/>
          <w:i w:val="0"/>
          <w:strike w:val="0"/>
          <w:noProof w:val="0"/>
          <w:color w:val="000000"/>
          <w:position w:val="0"/>
          <w:sz w:val="20"/>
          <w:u w:val="none"/>
          <w:vertAlign w:val="baseline"/>
        </w:rPr>
        <w:t xml:space="preserve"> only on four grounds: (1) "the sentence was imposed in violation of the Constitution or laws of the United States"; (2) "the court was without jurisdiction to impose such sentence"; (3) "the sentence was in excess of the maximum authorized by law"; or (4) the sentence is "otherwise subject to collateral attack."</w:t>
      </w:r>
      <w:r>
        <w:rPr>
          <w:rFonts w:ascii="arial" w:eastAsia="arial" w:hAnsi="arial" w:cs="arial"/>
          <w:vertAlign w:val="superscript"/>
        </w:rPr>
        <w:footnoteReference w:customMarkFollows="1" w:id="8"/>
        <w:t xml:space="preserve">7</w:t>
      </w:r>
      <w:r>
        <w:rPr>
          <w:rFonts w:ascii="arial" w:eastAsia="arial" w:hAnsi="arial" w:cs="arial"/>
          <w:b w:val="0"/>
          <w:i w:val="0"/>
          <w:strike w:val="0"/>
          <w:noProof w:val="0"/>
          <w:color w:val="000000"/>
          <w:position w:val="0"/>
          <w:sz w:val="20"/>
          <w:u w:val="none"/>
          <w:vertAlign w:val="baseline"/>
        </w:rPr>
        <w:t xml:space="preserve"> Thus, "[i]n the absence of constitutional or jurisdictional defects, a federal prisoner may invoke </w:t>
      </w:r>
      <w:hyperlink r:id="rId10" w:history="1">
        <w:r>
          <w:rPr>
            <w:rFonts w:ascii="arial" w:eastAsia="arial" w:hAnsi="arial" w:cs="arial"/>
            <w:b w:val="0"/>
            <w:i/>
            <w:strike w:val="0"/>
            <w:noProof w:val="0"/>
            <w:color w:val="0077CC"/>
            <w:position w:val="0"/>
            <w:sz w:val="20"/>
            <w:u w:val="single"/>
            <w:vertAlign w:val="baseline"/>
          </w:rPr>
          <w:t>§ 2255</w:t>
        </w:r>
      </w:hyperlink>
      <w:r>
        <w:rPr>
          <w:rFonts w:ascii="arial" w:eastAsia="arial" w:hAnsi="arial" w:cs="arial"/>
          <w:b w:val="0"/>
          <w:i w:val="0"/>
          <w:strike w:val="0"/>
          <w:noProof w:val="0"/>
          <w:color w:val="000000"/>
          <w:position w:val="0"/>
          <w:sz w:val="20"/>
          <w:u w:val="none"/>
          <w:vertAlign w:val="baseline"/>
        </w:rPr>
        <w:t xml:space="preserve"> only if the error constitutes 'a fundamental defect which inherently results in a complete miscarriage of justice.'"</w:t>
      </w:r>
      <w:r>
        <w:rPr>
          <w:rFonts w:ascii="arial" w:eastAsia="arial" w:hAnsi="arial" w:cs="arial"/>
          <w:vertAlign w:val="superscript"/>
        </w:rPr>
        <w:footnoteReference w:customMarkFollows="1" w:id="9"/>
        <w:t xml:space="preserve">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III. </w:t>
      </w:r>
      <w:r>
        <w:rPr>
          <w:rFonts w:ascii="arial" w:eastAsia="arial" w:hAnsi="arial" w:cs="arial"/>
          <w:b/>
          <w:i w:val="0"/>
          <w:smallCaps/>
          <w:strike w:val="0"/>
          <w:noProof w:val="0"/>
          <w:color w:val="000000"/>
          <w:position w:val="0"/>
          <w:sz w:val="20"/>
          <w:u w:val="none"/>
          <w:vertAlign w:val="baseline"/>
        </w:rPr>
        <w:t>Discussion</w:t>
      </w:r>
    </w:p>
    <w:p>
      <w:pPr>
        <w:keepNext w:val="0"/>
        <w:spacing w:before="200" w:after="0" w:line="260" w:lineRule="atLeast"/>
        <w:ind w:left="0" w:right="0" w:firstLine="0"/>
        <w:jc w:val="both"/>
      </w:pPr>
      <w:bookmarkStart w:id="28" w:name="Bookmark_para_5"/>
      <w:bookmarkEnd w:id="28"/>
      <w:r>
        <w:rPr>
          <w:rFonts w:ascii="arial" w:eastAsia="arial" w:hAnsi="arial" w:cs="arial"/>
          <w:b w:val="0"/>
          <w:i w:val="0"/>
          <w:strike w:val="0"/>
          <w:noProof w:val="0"/>
          <w:color w:val="000000"/>
          <w:position w:val="0"/>
          <w:sz w:val="20"/>
          <w:u w:val="none"/>
          <w:vertAlign w:val="baseline"/>
        </w:rPr>
        <w:t xml:space="preserve">Defendant states four grounds for her </w:t>
      </w:r>
      <w:hyperlink r:id="rId10" w:history="1">
        <w:r>
          <w:rPr>
            <w:rFonts w:ascii="arial" w:eastAsia="arial" w:hAnsi="arial" w:cs="arial"/>
            <w:b w:val="0"/>
            <w:i/>
            <w:strike w:val="0"/>
            <w:noProof w:val="0"/>
            <w:color w:val="0077CC"/>
            <w:position w:val="0"/>
            <w:sz w:val="20"/>
            <w:u w:val="single"/>
            <w:vertAlign w:val="baseline"/>
          </w:rPr>
          <w:t>§ 2255</w:t>
        </w:r>
      </w:hyperlink>
      <w:r>
        <w:rPr>
          <w:rFonts w:ascii="arial" w:eastAsia="arial" w:hAnsi="arial" w:cs="arial"/>
          <w:b w:val="0"/>
          <w:i w:val="0"/>
          <w:strike w:val="0"/>
          <w:noProof w:val="0"/>
          <w:color w:val="000000"/>
          <w:position w:val="0"/>
          <w:sz w:val="20"/>
          <w:u w:val="none"/>
          <w:vertAlign w:val="baseline"/>
        </w:rPr>
        <w:t xml:space="preserve"> claim.</w:t>
      </w:r>
      <w:r>
        <w:rPr>
          <w:rFonts w:ascii="arial" w:eastAsia="arial" w:hAnsi="arial" w:cs="arial"/>
          <w:vertAlign w:val="superscript"/>
        </w:rPr>
        <w:footnoteReference w:customMarkFollows="1" w:id="10"/>
        <w:t xml:space="preserve">9</w:t>
      </w:r>
      <w:r>
        <w:rPr>
          <w:rFonts w:ascii="arial" w:eastAsia="arial" w:hAnsi="arial" w:cs="arial"/>
          <w:b w:val="0"/>
          <w:i w:val="0"/>
          <w:strike w:val="0"/>
          <w:noProof w:val="0"/>
          <w:color w:val="000000"/>
          <w:position w:val="0"/>
          <w:sz w:val="20"/>
          <w:u w:val="none"/>
          <w:vertAlign w:val="baseline"/>
        </w:rPr>
        <w:t xml:space="preserve"> The first ground concerns ineffective assistance of counsel. Specifically, Defendant asserts that her retained counsel, Brady T. Wyatt, III ("Mr. Wyatt"), told her she "had to plea guilty." Defendant</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claims that Mr. Wyatt's advice was given even though she had options other than pleading guilty.</w:t>
      </w:r>
    </w:p>
    <w:p>
      <w:pPr>
        <w:keepNext w:val="0"/>
        <w:spacing w:before="200" w:after="0" w:line="260" w:lineRule="atLeast"/>
        <w:ind w:left="0" w:right="0" w:firstLine="0"/>
        <w:jc w:val="both"/>
      </w:pPr>
      <w:bookmarkStart w:id="30" w:name="Bookmark_para_6"/>
      <w:bookmarkEnd w:id="30"/>
      <w:r>
        <w:rPr>
          <w:rFonts w:ascii="arial" w:eastAsia="arial" w:hAnsi="arial" w:cs="arial"/>
          <w:b w:val="0"/>
          <w:i w:val="0"/>
          <w:strike w:val="0"/>
          <w:noProof w:val="0"/>
          <w:color w:val="000000"/>
          <w:position w:val="0"/>
          <w:sz w:val="20"/>
          <w:u w:val="none"/>
          <w:vertAlign w:val="baseline"/>
        </w:rPr>
        <w:t>Defendant's second ground challenges the accuracy of the information included in the Government's factual basis. She claims that the factual basis and Pre-Sentencing Investigation Report ("PSR") "both state different inconsi[stencies]" and "prove" she was not a leader or organizer as charged.</w:t>
      </w:r>
    </w:p>
    <w:p>
      <w:pPr>
        <w:keepNext w:val="0"/>
        <w:spacing w:before="200" w:after="0" w:line="260" w:lineRule="atLeast"/>
        <w:ind w:left="0" w:right="0" w:firstLine="0"/>
        <w:jc w:val="both"/>
      </w:pPr>
      <w:bookmarkStart w:id="31" w:name="Bookmark_para_7"/>
      <w:bookmarkEnd w:id="31"/>
      <w:r>
        <w:rPr>
          <w:rFonts w:ascii="arial" w:eastAsia="arial" w:hAnsi="arial" w:cs="arial"/>
          <w:b w:val="0"/>
          <w:i w:val="0"/>
          <w:strike w:val="0"/>
          <w:noProof w:val="0"/>
          <w:color w:val="000000"/>
          <w:position w:val="0"/>
          <w:sz w:val="20"/>
          <w:u w:val="none"/>
          <w:vertAlign w:val="baseline"/>
        </w:rPr>
        <w:t>Defendant's third ground asserts that Count Two was procured only under "false accusations." She claims that her sister-in-law and co-Defendant Maria Socorro Avila ("Avila") is actually the "boss" in charge of the operation.</w:t>
      </w:r>
    </w:p>
    <w:p>
      <w:pPr>
        <w:keepNext w:val="0"/>
        <w:spacing w:before="200" w:after="0" w:line="260" w:lineRule="atLeast"/>
        <w:ind w:left="0" w:right="0" w:firstLine="0"/>
        <w:jc w:val="both"/>
      </w:pPr>
      <w:bookmarkStart w:id="32" w:name="Bookmark_para_8"/>
      <w:bookmarkEnd w:id="32"/>
      <w:r>
        <w:rPr>
          <w:rFonts w:ascii="arial" w:eastAsia="arial" w:hAnsi="arial" w:cs="arial"/>
          <w:b w:val="0"/>
          <w:i w:val="0"/>
          <w:strike w:val="0"/>
          <w:noProof w:val="0"/>
          <w:color w:val="000000"/>
          <w:position w:val="0"/>
          <w:sz w:val="20"/>
          <w:u w:val="none"/>
          <w:vertAlign w:val="baseline"/>
        </w:rPr>
        <w:t>Defendant's fourth ground pertains to the PSR's offense conduct section. Defendant alleges again that the PSR contains inconsistencies, specifically as it relates to the number of illegal aliens purportedly transported.</w:t>
      </w:r>
    </w:p>
    <w:p>
      <w:pPr>
        <w:keepNext w:val="0"/>
        <w:spacing w:before="200" w:after="0" w:line="260" w:lineRule="atLeast"/>
        <w:ind w:left="0" w:right="0" w:firstLine="0"/>
        <w:jc w:val="both"/>
      </w:pPr>
      <w:bookmarkStart w:id="33" w:name="Bookmark_para_9"/>
      <w:bookmarkEnd w:id="33"/>
      <w:r>
        <w:rPr>
          <w:rFonts w:ascii="arial" w:eastAsia="arial" w:hAnsi="arial" w:cs="arial"/>
          <w:b w:val="0"/>
          <w:i w:val="0"/>
          <w:strike w:val="0"/>
          <w:noProof w:val="0"/>
          <w:color w:val="000000"/>
          <w:position w:val="0"/>
          <w:sz w:val="20"/>
          <w:u w:val="none"/>
          <w:vertAlign w:val="baseline"/>
        </w:rPr>
        <w:t>Defendant did not present any of these grounds in court prior to the Motion to Vacate.</w:t>
      </w:r>
      <w:r>
        <w:rPr>
          <w:rFonts w:ascii="arial" w:eastAsia="arial" w:hAnsi="arial" w:cs="arial"/>
          <w:vertAlign w:val="superscript"/>
        </w:rPr>
        <w:footnoteReference w:customMarkFollows="1" w:id="11"/>
        <w:t xml:space="preserve">10</w:t>
      </w:r>
      <w:r>
        <w:rPr>
          <w:rFonts w:ascii="arial" w:eastAsia="arial" w:hAnsi="arial" w:cs="arial"/>
          <w:b w:val="0"/>
          <w:i w:val="0"/>
          <w:strike w:val="0"/>
          <w:noProof w:val="0"/>
          <w:color w:val="000000"/>
          <w:position w:val="0"/>
          <w:sz w:val="20"/>
          <w:u w:val="none"/>
          <w:vertAlign w:val="baseline"/>
        </w:rPr>
        <w:t xml:space="preserve"> For these errors, Defendant requests the Court vacate Count Two and "correct" her guidelines and sentencing.</w:t>
      </w:r>
      <w:r>
        <w:rPr>
          <w:rFonts w:ascii="arial" w:eastAsia="arial" w:hAnsi="arial" w:cs="arial"/>
          <w:vertAlign w:val="superscript"/>
        </w:rPr>
        <w:footnoteReference w:customMarkFollows="1" w:id="12"/>
        <w:t xml:space="preserve">11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Necessity of An Evidentiary Hearing</w:t>
      </w:r>
    </w:p>
    <w:p>
      <w:pPr>
        <w:keepNext w:val="0"/>
        <w:spacing w:before="200" w:after="0" w:line="260" w:lineRule="atLeast"/>
        <w:ind w:left="0" w:right="0" w:firstLine="0"/>
        <w:jc w:val="both"/>
      </w:pPr>
      <w:bookmarkStart w:id="36" w:name="Bookmark_para_10"/>
      <w:bookmarkEnd w:id="36"/>
      <w:bookmarkStart w:id="37" w:name="Bookmark_I6820TTV28T4FP0020000400"/>
      <w:bookmarkEnd w:id="37"/>
      <w:r>
        <w:rPr>
          <w:rFonts w:ascii="arial" w:eastAsia="arial" w:hAnsi="arial" w:cs="arial"/>
          <w:b w:val="0"/>
          <w:i w:val="0"/>
          <w:strike w:val="0"/>
          <w:noProof w:val="0"/>
          <w:color w:val="000000"/>
          <w:position w:val="0"/>
          <w:sz w:val="20"/>
          <w:u w:val="none"/>
          <w:vertAlign w:val="baseline"/>
        </w:rPr>
        <w:t xml:space="preserve">The Court must first conduct a preliminary review of the </w:t>
      </w:r>
      <w:hyperlink r:id="rId10" w:history="1">
        <w:r>
          <w:rPr>
            <w:rFonts w:ascii="arial" w:eastAsia="arial" w:hAnsi="arial" w:cs="arial"/>
            <w:b w:val="0"/>
            <w:i/>
            <w:strike w:val="0"/>
            <w:noProof w:val="0"/>
            <w:color w:val="0077CC"/>
            <w:position w:val="0"/>
            <w:sz w:val="20"/>
            <w:u w:val="single"/>
            <w:vertAlign w:val="baseline"/>
          </w:rPr>
          <w:t>§ 2255</w:t>
        </w:r>
      </w:hyperlink>
      <w:r>
        <w:rPr>
          <w:rFonts w:ascii="arial" w:eastAsia="arial" w:hAnsi="arial" w:cs="arial"/>
          <w:b w:val="0"/>
          <w:i w:val="0"/>
          <w:strike w:val="0"/>
          <w:noProof w:val="0"/>
          <w:color w:val="000000"/>
          <w:position w:val="0"/>
          <w:sz w:val="20"/>
          <w:u w:val="none"/>
          <w:vertAlign w:val="baseline"/>
        </w:rPr>
        <w:t xml:space="preserve"> motion, and "[i]f it plainly appears from the motion, any attached exhibits,</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and the record of the prior proceeding that the moving party is not entitled to relief, the judge must dismiss the motion."</w:t>
      </w:r>
      <w:r>
        <w:rPr>
          <w:rFonts w:ascii="arial" w:eastAsia="arial" w:hAnsi="arial" w:cs="arial"/>
          <w:vertAlign w:val="superscript"/>
        </w:rPr>
        <w:footnoteReference w:customMarkFollows="1" w:id="13"/>
        <w:t xml:space="preserve">12</w:t>
      </w:r>
      <w:r>
        <w:rPr>
          <w:rFonts w:ascii="arial" w:eastAsia="arial" w:hAnsi="arial" w:cs="arial"/>
          <w:b w:val="0"/>
          <w:i w:val="0"/>
          <w:strike w:val="0"/>
          <w:noProof w:val="0"/>
          <w:color w:val="000000"/>
          <w:position w:val="0"/>
          <w:sz w:val="20"/>
          <w:u w:val="none"/>
          <w:vertAlign w:val="baseline"/>
        </w:rPr>
        <w:t xml:space="preserve"> After the Court reviews the Government's response and any transcripts of prior proceedings, the Court must decide whether an evidentiary hearing is warranted.</w:t>
      </w:r>
      <w:r>
        <w:rPr>
          <w:rFonts w:ascii="arial" w:eastAsia="arial" w:hAnsi="arial" w:cs="arial"/>
          <w:vertAlign w:val="superscript"/>
        </w:rPr>
        <w:footnoteReference w:customMarkFollows="1" w:id="14"/>
        <w:t xml:space="preserve">13</w:t>
      </w:r>
    </w:p>
    <w:p>
      <w:pPr>
        <w:keepNext w:val="0"/>
        <w:spacing w:before="240" w:after="0" w:line="260" w:lineRule="atLeast"/>
        <w:ind w:left="0" w:right="0" w:firstLine="0"/>
        <w:jc w:val="both"/>
      </w:pPr>
      <w:bookmarkStart w:id="41" w:name="Bookmark_para_11"/>
      <w:bookmarkEnd w:id="41"/>
      <w:bookmarkStart w:id="42" w:name="Bookmark_I6820TTV28T4FP0040000400"/>
      <w:bookmarkEnd w:id="42"/>
      <w:bookmarkStart w:id="43" w:name="Bookmark_I6820TTW2SF81K0030000400"/>
      <w:bookmarkEnd w:id="43"/>
      <w:r>
        <w:rPr>
          <w:rFonts w:ascii="arial" w:eastAsia="arial" w:hAnsi="arial" w:cs="arial"/>
          <w:b w:val="0"/>
          <w:i w:val="0"/>
          <w:strike w:val="0"/>
          <w:noProof w:val="0"/>
          <w:color w:val="000000"/>
          <w:position w:val="0"/>
          <w:sz w:val="20"/>
          <w:u w:val="none"/>
          <w:vertAlign w:val="baseline"/>
        </w:rPr>
        <w:t>An evidentiary hearing may be warranted if the defendant "produce[s] independent indicia of the likely merit of his allegations."</w:t>
      </w:r>
      <w:r>
        <w:rPr>
          <w:rFonts w:ascii="arial" w:eastAsia="arial" w:hAnsi="arial" w:cs="arial"/>
          <w:vertAlign w:val="superscript"/>
        </w:rPr>
        <w:footnoteReference w:customMarkFollows="1" w:id="15"/>
        <w:t xml:space="preserve">14</w:t>
      </w:r>
      <w:r>
        <w:rPr>
          <w:rFonts w:ascii="arial" w:eastAsia="arial" w:hAnsi="arial" w:cs="arial"/>
          <w:b w:val="0"/>
          <w:i w:val="0"/>
          <w:strike w:val="0"/>
          <w:noProof w:val="0"/>
          <w:color w:val="000000"/>
          <w:position w:val="0"/>
          <w:sz w:val="20"/>
          <w:u w:val="none"/>
          <w:vertAlign w:val="baseline"/>
        </w:rPr>
        <w:t xml:space="preserve"> Thus, a </w:t>
      </w:r>
      <w:hyperlink r:id="rId10" w:history="1">
        <w:r>
          <w:rPr>
            <w:rFonts w:ascii="arial" w:eastAsia="arial" w:hAnsi="arial" w:cs="arial"/>
            <w:b w:val="0"/>
            <w:i/>
            <w:strike w:val="0"/>
            <w:noProof w:val="0"/>
            <w:color w:val="0077CC"/>
            <w:position w:val="0"/>
            <w:sz w:val="20"/>
            <w:u w:val="single"/>
            <w:vertAlign w:val="baseline"/>
          </w:rPr>
          <w:t>§ 2255</w:t>
        </w:r>
      </w:hyperlink>
      <w:r>
        <w:rPr>
          <w:rFonts w:ascii="arial" w:eastAsia="arial" w:hAnsi="arial" w:cs="arial"/>
          <w:b w:val="0"/>
          <w:i w:val="0"/>
          <w:strike w:val="0"/>
          <w:noProof w:val="0"/>
          <w:color w:val="000000"/>
          <w:position w:val="0"/>
          <w:sz w:val="20"/>
          <w:u w:val="none"/>
          <w:vertAlign w:val="baseline"/>
        </w:rPr>
        <w:t xml:space="preserve"> motion necessitates an evidentiary hearing "unless either (1) the movant's claims are clearly frivolous or based upon unsupported generalizations, or (2) the movant would not be entitled to relief as a matter of law, even if his factual assertions were true."</w:t>
      </w:r>
      <w:r>
        <w:rPr>
          <w:rFonts w:ascii="arial" w:eastAsia="arial" w:hAnsi="arial" w:cs="arial"/>
          <w:vertAlign w:val="superscript"/>
        </w:rPr>
        <w:footnoteReference w:customMarkFollows="1" w:id="16"/>
        <w:t xml:space="preserve">15</w:t>
      </w:r>
    </w:p>
    <w:p>
      <w:pPr>
        <w:keepNext w:val="0"/>
        <w:spacing w:before="200" w:after="0" w:line="260" w:lineRule="atLeast"/>
        <w:ind w:left="0" w:right="0" w:firstLine="0"/>
        <w:jc w:val="both"/>
      </w:pPr>
      <w:bookmarkStart w:id="50" w:name="Bookmark_para_12"/>
      <w:bookmarkEnd w:id="50"/>
      <w:bookmarkStart w:id="51" w:name="Bookmark_I6820TTW2D6NBD0020000400"/>
      <w:bookmarkEnd w:id="51"/>
      <w:r>
        <w:rPr>
          <w:rFonts w:ascii="arial" w:eastAsia="arial" w:hAnsi="arial" w:cs="arial"/>
          <w:b w:val="0"/>
          <w:i w:val="0"/>
          <w:strike w:val="0"/>
          <w:noProof w:val="0"/>
          <w:color w:val="000000"/>
          <w:position w:val="0"/>
          <w:sz w:val="20"/>
          <w:u w:val="none"/>
          <w:vertAlign w:val="baseline"/>
        </w:rPr>
        <w:t>As will be discussed below, the Court finds that Defendant's Motion to Vacate can be decided entirely on the pleadings and evidence in the record. In particular, Defendant's claims, upon examination of the record, are meritless and frivolous. An evidentiary hearing is therefore not necessary.</w:t>
      </w:r>
      <w:r>
        <w:rPr>
          <w:rFonts w:ascii="arial" w:eastAsia="arial" w:hAnsi="arial" w:cs="arial"/>
          <w:vertAlign w:val="superscript"/>
        </w:rPr>
        <w:footnoteReference w:customMarkFollows="1" w:id="17"/>
        <w:t xml:space="preserve">16</w:t>
      </w:r>
      <w:r>
        <w:rPr>
          <w:rFonts w:ascii="arial" w:eastAsia="arial" w:hAnsi="arial" w:cs="arial"/>
          <w:b w:val="0"/>
          <w:i w:val="0"/>
          <w:strike w:val="0"/>
          <w:noProof w:val="0"/>
          <w:color w:val="000000"/>
          <w:position w:val="0"/>
          <w:sz w:val="20"/>
          <w:u w:val="none"/>
          <w:vertAlign w:val="baseline"/>
        </w:rPr>
        <w:t xml:space="preserve"> Accordingly, the Court shall decline any opportunity for an evidentiary hearing on Defendant's Motion to Vacate.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Ground One: Ineffective Assistance of Counsel</w:t>
      </w:r>
    </w:p>
    <w:p>
      <w:pPr>
        <w:keepNext w:val="0"/>
        <w:spacing w:before="200" w:after="0" w:line="260" w:lineRule="atLeast"/>
        <w:ind w:left="0" w:right="0" w:firstLine="0"/>
        <w:jc w:val="both"/>
      </w:pPr>
      <w:bookmarkStart w:id="56" w:name="Bookmark_para_13"/>
      <w:bookmarkEnd w:id="56"/>
      <w:r>
        <w:rPr>
          <w:rFonts w:ascii="arial" w:eastAsia="arial" w:hAnsi="arial" w:cs="arial"/>
          <w:b w:val="0"/>
          <w:i w:val="0"/>
          <w:strike w:val="0"/>
          <w:noProof w:val="0"/>
          <w:color w:val="000000"/>
          <w:position w:val="0"/>
          <w:sz w:val="20"/>
          <w:u w:val="none"/>
          <w:vertAlign w:val="baseline"/>
        </w:rPr>
        <w:t>Defendant's first ground</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for relief is that Mr. Wyatt, her retained counsel, ineffectively assisted her in taking a plea.</w:t>
      </w:r>
    </w:p>
    <w:p>
      <w:pPr>
        <w:keepNext w:val="0"/>
        <w:spacing w:before="240" w:after="0" w:line="260" w:lineRule="atLeast"/>
        <w:ind w:left="0" w:right="0" w:firstLine="0"/>
        <w:jc w:val="both"/>
      </w:pPr>
      <w:bookmarkStart w:id="57" w:name="Bookmark_para_14"/>
      <w:bookmarkEnd w:id="57"/>
      <w:bookmarkStart w:id="58" w:name="Bookmark_I6820TTX2N1R5T0030000400"/>
      <w:bookmarkEnd w:id="58"/>
      <w:bookmarkStart w:id="59" w:name="Bookmark_I6820TTX2HM69V0050000400"/>
      <w:bookmarkEnd w:id="59"/>
      <w:bookmarkStart w:id="60" w:name="Bookmark_I6820TTY2N1R5X0040000400"/>
      <w:bookmarkEnd w:id="60"/>
      <w:bookmarkStart w:id="61" w:name="Bookmark_I6820TTY2SF81T0030000400"/>
      <w:bookmarkEnd w:id="61"/>
      <w:r>
        <w:rPr>
          <w:rFonts w:ascii="arial" w:eastAsia="arial" w:hAnsi="arial" w:cs="arial"/>
          <w:b w:val="0"/>
          <w:i w:val="0"/>
          <w:strike w:val="0"/>
          <w:noProof w:val="0"/>
          <w:color w:val="000000"/>
          <w:position w:val="0"/>
          <w:sz w:val="20"/>
          <w:u w:val="none"/>
          <w:vertAlign w:val="baseline"/>
        </w:rPr>
        <w:t xml:space="preserve">To prevail on a constitutional ineffective assistance of counsel claim, the defendant under the familiar </w:t>
      </w:r>
      <w:r>
        <w:rPr>
          <w:rFonts w:ascii="arial" w:eastAsia="arial" w:hAnsi="arial" w:cs="arial"/>
          <w:b w:val="0"/>
          <w:i/>
          <w:strike w:val="0"/>
          <w:noProof w:val="0"/>
          <w:color w:val="000000"/>
          <w:position w:val="0"/>
          <w:sz w:val="20"/>
          <w:u w:val="none"/>
          <w:vertAlign w:val="baseline"/>
        </w:rPr>
        <w:t>Strickland v. Washington</w:t>
      </w:r>
      <w:r>
        <w:rPr>
          <w:rFonts w:ascii="arial" w:eastAsia="arial" w:hAnsi="arial" w:cs="arial"/>
          <w:b w:val="0"/>
          <w:i w:val="0"/>
          <w:strike w:val="0"/>
          <w:noProof w:val="0"/>
          <w:color w:val="000000"/>
          <w:position w:val="0"/>
          <w:sz w:val="20"/>
          <w:u w:val="none"/>
          <w:vertAlign w:val="baseline"/>
        </w:rPr>
        <w:t xml:space="preserve"> test "must demonstrate that: (1) counsel's performance was deficient; and (2) the deficient performance prejudiced the defense."</w:t>
      </w:r>
      <w:r>
        <w:rPr>
          <w:rFonts w:ascii="arial" w:eastAsia="arial" w:hAnsi="arial" w:cs="arial"/>
          <w:vertAlign w:val="superscript"/>
        </w:rPr>
        <w:footnoteReference w:customMarkFollows="1" w:id="18"/>
        <w:t xml:space="preserve">17</w:t>
      </w:r>
      <w:r>
        <w:rPr>
          <w:rFonts w:ascii="arial" w:eastAsia="arial" w:hAnsi="arial" w:cs="arial"/>
          <w:b w:val="0"/>
          <w:i w:val="0"/>
          <w:strike w:val="0"/>
          <w:noProof w:val="0"/>
          <w:color w:val="000000"/>
          <w:position w:val="0"/>
          <w:sz w:val="20"/>
          <w:u w:val="none"/>
          <w:vertAlign w:val="baseline"/>
        </w:rPr>
        <w:t xml:space="preserve"> As to deficiency, counsel needed to have "made errors so serious that counsel was not functioning as the 'counsel' guaranteed the defendant by the </w:t>
      </w:r>
      <w:hyperlink r:id="rId11" w:history="1">
        <w:r>
          <w:rPr>
            <w:rFonts w:ascii="arial" w:eastAsia="arial" w:hAnsi="arial" w:cs="arial"/>
            <w:b w:val="0"/>
            <w:i/>
            <w:strike w:val="0"/>
            <w:noProof w:val="0"/>
            <w:color w:val="0077CC"/>
            <w:position w:val="0"/>
            <w:sz w:val="20"/>
            <w:u w:val="single"/>
            <w:vertAlign w:val="baseline"/>
          </w:rPr>
          <w:t>Sixth Amendment</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19"/>
        <w:t xml:space="preserve">18</w:t>
      </w:r>
      <w:r>
        <w:rPr>
          <w:rFonts w:ascii="arial" w:eastAsia="arial" w:hAnsi="arial" w:cs="arial"/>
          <w:b w:val="0"/>
          <w:i w:val="0"/>
          <w:strike w:val="0"/>
          <w:noProof w:val="0"/>
          <w:color w:val="000000"/>
          <w:position w:val="0"/>
          <w:sz w:val="20"/>
          <w:u w:val="none"/>
          <w:vertAlign w:val="baseline"/>
        </w:rPr>
        <w:t xml:space="preserve"> The defendant must show that, "in light of the circumstances as they appeared at the time of the conduct, 'counsel's representation fell below an objective standard of reasonableness' as measured by 'prevailing professional norms'" in order to satisfy the deficiency prong.</w:t>
      </w:r>
      <w:r>
        <w:rPr>
          <w:rFonts w:ascii="arial" w:eastAsia="arial" w:hAnsi="arial" w:cs="arial"/>
          <w:vertAlign w:val="superscript"/>
        </w:rPr>
        <w:footnoteReference w:customMarkFollows="1" w:id="20"/>
        <w:t xml:space="preserve">19</w:t>
      </w:r>
      <w:r>
        <w:rPr>
          <w:rFonts w:ascii="arial" w:eastAsia="arial" w:hAnsi="arial" w:cs="arial"/>
          <w:b w:val="0"/>
          <w:i w:val="0"/>
          <w:strike w:val="0"/>
          <w:noProof w:val="0"/>
          <w:color w:val="000000"/>
          <w:position w:val="0"/>
          <w:sz w:val="20"/>
          <w:u w:val="none"/>
          <w:vertAlign w:val="baseline"/>
        </w:rPr>
        <w:t xml:space="preserve"> There is a "strong presumption that counsel's representation was within the 'wide range' of reasonable professional assistance."</w:t>
      </w:r>
      <w:r>
        <w:rPr>
          <w:rFonts w:ascii="arial" w:eastAsia="arial" w:hAnsi="arial" w:cs="arial"/>
          <w:vertAlign w:val="superscript"/>
        </w:rPr>
        <w:footnoteReference w:customMarkFollows="1" w:id="21"/>
        <w:t xml:space="preserve">20</w:t>
      </w:r>
    </w:p>
    <w:p>
      <w:pPr>
        <w:keepNext w:val="0"/>
        <w:spacing w:before="200" w:after="0" w:line="260" w:lineRule="atLeast"/>
        <w:ind w:left="0" w:right="0" w:firstLine="0"/>
        <w:jc w:val="both"/>
      </w:pPr>
      <w:bookmarkStart w:id="77" w:name="Bookmark_para_15"/>
      <w:bookmarkEnd w:id="77"/>
      <w:bookmarkStart w:id="78" w:name="Bookmark_I6820TTY2SF81T0050000400"/>
      <w:bookmarkEnd w:id="78"/>
      <w:bookmarkStart w:id="79" w:name="Bookmark_I6820TV02HM6B00040000400"/>
      <w:bookmarkEnd w:id="79"/>
      <w:bookmarkStart w:id="80" w:name="Bookmark_I6820TV02D6NBP0010000400"/>
      <w:bookmarkEnd w:id="80"/>
      <w:r>
        <w:rPr>
          <w:rFonts w:ascii="arial" w:eastAsia="arial" w:hAnsi="arial" w:cs="arial"/>
          <w:b w:val="0"/>
          <w:i w:val="0"/>
          <w:strike w:val="0"/>
          <w:noProof w:val="0"/>
          <w:color w:val="000000"/>
          <w:position w:val="0"/>
          <w:sz w:val="20"/>
          <w:u w:val="none"/>
          <w:vertAlign w:val="baseline"/>
        </w:rPr>
        <w:t>Regarding performance, counsel's errors must have been "so serious as to deprive the defendant of a fair trial, a trial whose result is reliable."</w:t>
      </w:r>
      <w:r>
        <w:rPr>
          <w:rFonts w:ascii="arial" w:eastAsia="arial" w:hAnsi="arial" w:cs="arial"/>
          <w:vertAlign w:val="superscript"/>
        </w:rPr>
        <w:footnoteReference w:customMarkFollows="1" w:id="22"/>
        <w:t xml:space="preserve">21</w:t>
      </w:r>
      <w:r>
        <w:rPr>
          <w:rFonts w:ascii="arial" w:eastAsia="arial" w:hAnsi="arial" w:cs="arial"/>
          <w:b w:val="0"/>
          <w:i w:val="0"/>
          <w:strike w:val="0"/>
          <w:noProof w:val="0"/>
          <w:color w:val="000000"/>
          <w:position w:val="0"/>
          <w:sz w:val="20"/>
          <w:u w:val="none"/>
          <w:vertAlign w:val="baseline"/>
        </w:rPr>
        <w:t xml:space="preserve"> This prong is satisfied by a showing that there is a "reasonable probability . . . sufficient to undermine confidence in the outcome" of a criminal</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trial that, "but for counsel's unprofessional errors, the result of the proceeding would have been different."</w:t>
      </w:r>
      <w:r>
        <w:rPr>
          <w:rFonts w:ascii="arial" w:eastAsia="arial" w:hAnsi="arial" w:cs="arial"/>
          <w:vertAlign w:val="superscript"/>
        </w:rPr>
        <w:footnoteReference w:customMarkFollows="1" w:id="23"/>
        <w:t xml:space="preserve">22</w:t>
      </w:r>
      <w:r>
        <w:rPr>
          <w:rFonts w:ascii="arial" w:eastAsia="arial" w:hAnsi="arial" w:cs="arial"/>
          <w:b w:val="0"/>
          <w:i w:val="0"/>
          <w:strike w:val="0"/>
          <w:noProof w:val="0"/>
          <w:color w:val="000000"/>
          <w:position w:val="0"/>
          <w:sz w:val="20"/>
          <w:u w:val="none"/>
          <w:vertAlign w:val="baseline"/>
        </w:rPr>
        <w:t xml:space="preserve"> Such probability requires a "substantial" as opposed to a "conceivable" likelihood of another result.</w:t>
      </w:r>
      <w:r>
        <w:rPr>
          <w:rFonts w:ascii="arial" w:eastAsia="arial" w:hAnsi="arial" w:cs="arial"/>
          <w:vertAlign w:val="superscript"/>
        </w:rPr>
        <w:footnoteReference w:customMarkFollows="1" w:id="24"/>
        <w:t xml:space="preserve">23</w:t>
      </w:r>
    </w:p>
    <w:p>
      <w:pPr>
        <w:keepNext w:val="0"/>
        <w:spacing w:before="240" w:after="0" w:line="260" w:lineRule="atLeast"/>
        <w:ind w:left="0" w:right="0" w:firstLine="0"/>
        <w:jc w:val="both"/>
      </w:pPr>
      <w:bookmarkStart w:id="88" w:name="Bookmark_para_16"/>
      <w:bookmarkEnd w:id="88"/>
      <w:bookmarkStart w:id="89" w:name="Bookmark_I6820TV02D6NBP0030000400"/>
      <w:bookmarkEnd w:id="89"/>
      <w:r>
        <w:rPr>
          <w:rFonts w:ascii="arial" w:eastAsia="arial" w:hAnsi="arial" w:cs="arial"/>
          <w:b w:val="0"/>
          <w:i w:val="0"/>
          <w:strike w:val="0"/>
          <w:noProof w:val="0"/>
          <w:color w:val="000000"/>
          <w:position w:val="0"/>
          <w:sz w:val="20"/>
          <w:u w:val="none"/>
          <w:vertAlign w:val="baseline"/>
        </w:rPr>
        <w:t>In this case, Defendant asserts that Mr. Wyatt was deficient because he told her she "had to" plead guilty when she purportedly did not have to, and that there "was nothing he could do to help [her]."</w:t>
      </w:r>
      <w:r>
        <w:rPr>
          <w:rFonts w:ascii="arial" w:eastAsia="arial" w:hAnsi="arial" w:cs="arial"/>
          <w:vertAlign w:val="superscript"/>
        </w:rPr>
        <w:footnoteReference w:customMarkFollows="1" w:id="25"/>
        <w:t xml:space="preserve">24</w:t>
      </w:r>
      <w:r>
        <w:rPr>
          <w:rFonts w:ascii="arial" w:eastAsia="arial" w:hAnsi="arial" w:cs="arial"/>
          <w:b w:val="0"/>
          <w:i w:val="0"/>
          <w:strike w:val="0"/>
          <w:noProof w:val="0"/>
          <w:color w:val="000000"/>
          <w:position w:val="0"/>
          <w:sz w:val="20"/>
          <w:u w:val="none"/>
          <w:vertAlign w:val="baseline"/>
        </w:rPr>
        <w:t xml:space="preserve"> The Government responds that these contentions are conclusory, do not meet the </w:t>
      </w:r>
      <w:bookmarkStart w:id="91" w:name="Bookmark_I6820TV02D6NBP0020000400"/>
      <w:bookmarkEnd w:id="91"/>
      <w:hyperlink r:id="rId12" w:history="1">
        <w:r>
          <w:rPr>
            <w:rFonts w:ascii="arial" w:eastAsia="arial" w:hAnsi="arial" w:cs="arial"/>
            <w:b w:val="0"/>
            <w:i/>
            <w:strike w:val="0"/>
            <w:noProof w:val="0"/>
            <w:color w:val="0077CC"/>
            <w:position w:val="0"/>
            <w:sz w:val="20"/>
            <w:u w:val="single"/>
            <w:vertAlign w:val="baseline"/>
          </w:rPr>
          <w:t>Strickland</w:t>
        </w:r>
      </w:hyperlink>
      <w:r>
        <w:rPr>
          <w:rFonts w:ascii="arial" w:eastAsia="arial" w:hAnsi="arial" w:cs="arial"/>
          <w:b w:val="0"/>
          <w:i w:val="0"/>
          <w:strike w:val="0"/>
          <w:noProof w:val="0"/>
          <w:color w:val="000000"/>
          <w:position w:val="0"/>
          <w:sz w:val="20"/>
          <w:u w:val="none"/>
          <w:vertAlign w:val="baseline"/>
        </w:rPr>
        <w:t xml:space="preserve"> standard, and contradict Defendant's statements.</w:t>
      </w:r>
    </w:p>
    <w:p>
      <w:pPr>
        <w:keepNext w:val="0"/>
        <w:spacing w:before="200" w:after="0" w:line="260" w:lineRule="atLeast"/>
        <w:ind w:left="0" w:right="0" w:firstLine="0"/>
        <w:jc w:val="both"/>
      </w:pPr>
      <w:bookmarkStart w:id="92" w:name="Bookmark_para_17"/>
      <w:bookmarkEnd w:id="92"/>
      <w:r>
        <w:rPr>
          <w:rFonts w:ascii="arial" w:eastAsia="arial" w:hAnsi="arial" w:cs="arial"/>
          <w:b w:val="0"/>
          <w:i w:val="0"/>
          <w:strike w:val="0"/>
          <w:noProof w:val="0"/>
          <w:color w:val="000000"/>
          <w:position w:val="0"/>
          <w:sz w:val="20"/>
          <w:u w:val="none"/>
          <w:vertAlign w:val="baseline"/>
        </w:rPr>
        <w:t>The Court finds that Defendant's assertions are baseless. At the re-arraignment in anticipation of her guilty plea, the Court, United States Magistrate Judge David Fannin presiding, asked Defendant:</w:t>
      </w:r>
    </w:p>
    <w:p>
      <w:pPr>
        <w:keepNext w:val="0"/>
        <w:spacing w:after="0" w:line="260" w:lineRule="atLeast"/>
        <w:ind w:left="400" w:right="0" w:firstLine="0"/>
        <w:jc w:val="both"/>
      </w:pPr>
      <w:bookmarkStart w:id="93" w:name="Bookmark_para_18"/>
      <w:bookmarkEnd w:id="93"/>
      <w:r>
        <w:rPr>
          <w:rFonts w:ascii="arial" w:eastAsia="arial" w:hAnsi="arial" w:cs="arial"/>
          <w:b w:val="0"/>
          <w:i w:val="0"/>
          <w:strike w:val="0"/>
          <w:noProof w:val="0"/>
          <w:color w:val="000000"/>
          <w:position w:val="0"/>
          <w:sz w:val="20"/>
          <w:u w:val="none"/>
          <w:vertAlign w:val="baseline"/>
        </w:rPr>
        <w:t>"You have a right to plead not guilty to the charges against you. Do you understand?"</w:t>
      </w:r>
    </w:p>
    <w:p>
      <w:pPr>
        <w:keepNext w:val="0"/>
        <w:spacing w:after="0" w:line="260" w:lineRule="atLeast"/>
        <w:ind w:left="400" w:right="0" w:firstLine="0"/>
        <w:jc w:val="both"/>
      </w:pPr>
      <w:bookmarkStart w:id="94" w:name="Bookmark_para_19"/>
      <w:bookmarkEnd w:id="94"/>
      <w:r>
        <w:rPr>
          <w:rFonts w:ascii="arial" w:eastAsia="arial" w:hAnsi="arial" w:cs="arial"/>
          <w:b w:val="0"/>
          <w:i w:val="0"/>
          <w:strike w:val="0"/>
          <w:noProof w:val="0"/>
          <w:color w:val="000000"/>
          <w:position w:val="0"/>
          <w:sz w:val="20"/>
          <w:u w:val="none"/>
          <w:vertAlign w:val="baseline"/>
        </w:rPr>
        <w:t>Defendant: "Yes, sir."</w:t>
      </w:r>
    </w:p>
    <w:p>
      <w:pPr>
        <w:keepNext w:val="0"/>
        <w:spacing w:after="0" w:line="260" w:lineRule="atLeast"/>
        <w:ind w:left="400" w:right="0" w:firstLine="0"/>
        <w:jc w:val="both"/>
      </w:pPr>
      <w:bookmarkStart w:id="95" w:name="Bookmark_para_20"/>
      <w:bookmarkEnd w:id="95"/>
      <w:r>
        <w:rPr>
          <w:rFonts w:ascii="arial" w:eastAsia="arial" w:hAnsi="arial" w:cs="arial"/>
          <w:b w:val="0"/>
          <w:i w:val="0"/>
          <w:strike w:val="0"/>
          <w:noProof w:val="0"/>
          <w:color w:val="000000"/>
          <w:position w:val="0"/>
          <w:sz w:val="20"/>
          <w:u w:val="none"/>
          <w:vertAlign w:val="baseline"/>
        </w:rPr>
        <w:t>The Court: "If you plead not guilty, you have a right to a trial by jury. Do you understand that you have this very important right?"</w:t>
      </w:r>
    </w:p>
    <w:p>
      <w:pPr>
        <w:keepNext w:val="0"/>
        <w:spacing w:after="0" w:line="260" w:lineRule="atLeast"/>
        <w:ind w:left="400" w:right="0" w:firstLine="0"/>
        <w:jc w:val="both"/>
      </w:pPr>
      <w:bookmarkStart w:id="96" w:name="Bookmark_para_21"/>
      <w:bookmarkEnd w:id="96"/>
      <w:r>
        <w:rPr>
          <w:rFonts w:ascii="arial" w:eastAsia="arial" w:hAnsi="arial" w:cs="arial"/>
          <w:b w:val="0"/>
          <w:i w:val="0"/>
          <w:strike w:val="0"/>
          <w:noProof w:val="0"/>
          <w:color w:val="000000"/>
          <w:position w:val="0"/>
          <w:sz w:val="20"/>
          <w:u w:val="none"/>
          <w:vertAlign w:val="baseline"/>
        </w:rPr>
        <w:t>Defendant: "Yes, sir."</w:t>
      </w:r>
      <w:r>
        <w:rPr>
          <w:rFonts w:ascii="arial" w:eastAsia="arial" w:hAnsi="arial" w:cs="arial"/>
          <w:vertAlign w:val="superscript"/>
        </w:rPr>
        <w:footnoteReference w:customMarkFollows="1" w:id="26"/>
        <w:t xml:space="preserve">25</w:t>
      </w:r>
    </w:p>
    <w:p>
      <w:pPr>
        <w:keepNext w:val="0"/>
        <w:spacing w:before="200" w:after="0" w:line="260" w:lineRule="atLeast"/>
        <w:ind w:left="0" w:right="0" w:firstLine="0"/>
        <w:jc w:val="both"/>
      </w:pPr>
      <w:bookmarkStart w:id="98" w:name="Bookmark_para_22"/>
      <w:bookmarkEnd w:id="98"/>
      <w:r>
        <w:rPr>
          <w:rFonts w:ascii="arial" w:eastAsia="arial" w:hAnsi="arial" w:cs="arial"/>
          <w:b w:val="0"/>
          <w:i w:val="0"/>
          <w:strike w:val="0"/>
          <w:noProof w:val="0"/>
          <w:color w:val="000000"/>
          <w:position w:val="0"/>
          <w:sz w:val="20"/>
          <w:u w:val="none"/>
          <w:vertAlign w:val="baseline"/>
        </w:rPr>
        <w:t>The Court apprised Defendant of all her other rights, such as the right to assistance of counsel at trial; the presumption of innocence at trial; the Government's burden of proof; and the rights to cross-examine</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and call witnesses.</w:t>
      </w:r>
      <w:r>
        <w:rPr>
          <w:rFonts w:ascii="arial" w:eastAsia="arial" w:hAnsi="arial" w:cs="arial"/>
          <w:vertAlign w:val="superscript"/>
        </w:rPr>
        <w:footnoteReference w:customMarkFollows="1" w:id="27"/>
        <w:t xml:space="preserve">26</w:t>
      </w:r>
      <w:r>
        <w:rPr>
          <w:rFonts w:ascii="arial" w:eastAsia="arial" w:hAnsi="arial" w:cs="arial"/>
          <w:b w:val="0"/>
          <w:i w:val="0"/>
          <w:strike w:val="0"/>
          <w:noProof w:val="0"/>
          <w:color w:val="000000"/>
          <w:position w:val="0"/>
          <w:sz w:val="20"/>
          <w:u w:val="none"/>
          <w:vertAlign w:val="baseline"/>
        </w:rPr>
        <w:t xml:space="preserve"> Thus, Defendant was clearly informed of her rights and the alternatives to pleading guilty without a plea agreement. Even if Mr. Wyatt should have but failed to so inform her, because the Court itself secured this information prior to Defendant pleading guilty, Defendant cannot prove prejudice on this ground.</w:t>
      </w:r>
    </w:p>
    <w:p>
      <w:pPr>
        <w:keepNext w:val="0"/>
        <w:spacing w:before="200" w:after="0" w:line="260" w:lineRule="atLeast"/>
        <w:ind w:left="0" w:right="0" w:firstLine="0"/>
        <w:jc w:val="both"/>
      </w:pPr>
      <w:bookmarkStart w:id="100" w:name="Bookmark_para_23"/>
      <w:bookmarkEnd w:id="100"/>
      <w:bookmarkStart w:id="101" w:name="Bookmark_I6820TV02D6NBP0050000400"/>
      <w:bookmarkEnd w:id="101"/>
      <w:r>
        <w:rPr>
          <w:rFonts w:ascii="arial" w:eastAsia="arial" w:hAnsi="arial" w:cs="arial"/>
          <w:b w:val="0"/>
          <w:i w:val="0"/>
          <w:strike w:val="0"/>
          <w:noProof w:val="0"/>
          <w:color w:val="000000"/>
          <w:position w:val="0"/>
          <w:sz w:val="20"/>
          <w:u w:val="none"/>
          <w:vertAlign w:val="baseline"/>
        </w:rPr>
        <w:t>Before Defendant entered into a guilty plea, even at re-arraignment, she still had the opportunity to refuse a plea and go to trial. She was duly informed of this by the Court, but still proceeded with the plea and affirmed her knowledge of her rights under oath. It therefore cannot be said that Defendant was prejudiced by the lack of knowledge of her options, since she was informed of them before it was too late to exercise them.</w:t>
      </w:r>
      <w:r>
        <w:rPr>
          <w:rFonts w:ascii="arial" w:eastAsia="arial" w:hAnsi="arial" w:cs="arial"/>
          <w:vertAlign w:val="superscript"/>
        </w:rPr>
        <w:footnoteReference w:customMarkFollows="1" w:id="28"/>
        <w:t xml:space="preserve">27</w:t>
      </w:r>
      <w:r>
        <w:rPr>
          <w:rFonts w:ascii="arial" w:eastAsia="arial" w:hAnsi="arial" w:cs="arial"/>
          <w:b w:val="0"/>
          <w:i w:val="0"/>
          <w:strike w:val="0"/>
          <w:noProof w:val="0"/>
          <w:color w:val="000000"/>
          <w:position w:val="0"/>
          <w:sz w:val="20"/>
          <w:u w:val="none"/>
          <w:vertAlign w:val="baseline"/>
        </w:rPr>
        <w:t xml:space="preserve"> Nor can it be said that, but for Mr. Wyatt's alleged failure, the outcome would have been any different. Defendant indicates no other conceivable prejudice that she experienced as a result of Mr. Wyatt's alleged failure to inform her. She has therefore not met her burden on the ineffective assistance of counsel claim. The Motion to Vacate is </w:t>
      </w:r>
      <w:r>
        <w:rPr>
          <w:rFonts w:ascii="arial" w:eastAsia="arial" w:hAnsi="arial" w:cs="arial"/>
          <w:b/>
          <w:i w:val="0"/>
          <w:strike w:val="0"/>
          <w:noProof w:val="0"/>
          <w:color w:val="000000"/>
          <w:position w:val="0"/>
          <w:sz w:val="20"/>
          <w:u w:val="none"/>
          <w:vertAlign w:val="baseline"/>
        </w:rPr>
        <w:t>DENIED</w:t>
      </w:r>
      <w:r>
        <w:rPr>
          <w:rFonts w:ascii="arial" w:eastAsia="arial" w:hAnsi="arial" w:cs="arial"/>
          <w:b w:val="0"/>
          <w:i w:val="0"/>
          <w:strike w:val="0"/>
          <w:noProof w:val="0"/>
          <w:color w:val="000000"/>
          <w:position w:val="0"/>
          <w:sz w:val="20"/>
          <w:u w:val="none"/>
          <w:vertAlign w:val="baseline"/>
        </w:rPr>
        <w:t xml:space="preserve"> as to Ground One.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 Ground Two: Inconsistencies in PSR and Factual Basis as</w:t>
      </w:r>
      <w:r>
        <w:rPr>
          <w:rFonts w:ascii="arial" w:eastAsia="arial" w:hAnsi="arial" w:cs="arial"/>
          <w:b/>
          <w:i w:val="0"/>
          <w:strike w:val="0"/>
          <w:noProof w:val="0"/>
          <w:color w:val="000000"/>
          <w:position w:val="0"/>
          <w:sz w:val="20"/>
          <w:u w:val="none"/>
          <w:vertAlign w:val="baseline"/>
        </w:rPr>
        <w:t> [*8] </w:t>
      </w:r>
      <w:r>
        <w:rPr>
          <w:rFonts w:ascii="arial" w:eastAsia="arial" w:hAnsi="arial" w:cs="arial"/>
          <w:b/>
          <w:i w:val="0"/>
          <w:strike w:val="0"/>
          <w:noProof w:val="0"/>
          <w:color w:val="000000"/>
          <w:position w:val="0"/>
          <w:sz w:val="20"/>
          <w:u w:val="none"/>
          <w:vertAlign w:val="baseline"/>
        </w:rPr>
        <w:t xml:space="preserve"> to Role</w:t>
      </w:r>
    </w:p>
    <w:p>
      <w:pPr>
        <w:keepNext w:val="0"/>
        <w:spacing w:before="200" w:after="0" w:line="260" w:lineRule="atLeast"/>
        <w:ind w:left="0" w:right="0" w:firstLine="0"/>
        <w:jc w:val="both"/>
      </w:pPr>
      <w:bookmarkStart w:id="104" w:name="Bookmark_para_24"/>
      <w:bookmarkEnd w:id="104"/>
      <w:r>
        <w:rPr>
          <w:rFonts w:ascii="arial" w:eastAsia="arial" w:hAnsi="arial" w:cs="arial"/>
          <w:b w:val="0"/>
          <w:i w:val="0"/>
          <w:strike w:val="0"/>
          <w:noProof w:val="0"/>
          <w:color w:val="000000"/>
          <w:position w:val="0"/>
          <w:sz w:val="20"/>
          <w:u w:val="none"/>
          <w:vertAlign w:val="baseline"/>
        </w:rPr>
        <w:t>Defendant second ground for relief is that the PSR and the factual basis are inconsistent and prove she was "not a leader/manager/organizer" in the crimes charged. She characterizes herself as "simply a person . . . helping [her] sister-in-law [and co-Defendant]" Avila. According to Defendant, she only acted "blindly[,] not knowing the nature of things transpiring."</w:t>
      </w:r>
      <w:r>
        <w:rPr>
          <w:rFonts w:ascii="arial" w:eastAsia="arial" w:hAnsi="arial" w:cs="arial"/>
          <w:vertAlign w:val="superscript"/>
        </w:rPr>
        <w:footnoteReference w:customMarkFollows="1" w:id="29"/>
        <w:t xml:space="preserve">28</w:t>
      </w:r>
    </w:p>
    <w:p>
      <w:pPr>
        <w:keepNext w:val="0"/>
        <w:spacing w:before="200" w:after="0" w:line="260" w:lineRule="atLeast"/>
        <w:ind w:left="0" w:right="0" w:firstLine="0"/>
        <w:jc w:val="both"/>
      </w:pPr>
      <w:bookmarkStart w:id="106" w:name="Bookmark_para_25"/>
      <w:bookmarkEnd w:id="106"/>
      <w:bookmarkStart w:id="107" w:name="Bookmark_I6820TV02SF8200020000400"/>
      <w:bookmarkEnd w:id="107"/>
      <w:bookmarkStart w:id="108" w:name="Bookmark_I6820TV028T4G60010000400"/>
      <w:bookmarkEnd w:id="108"/>
      <w:r>
        <w:rPr>
          <w:rFonts w:ascii="arial" w:eastAsia="arial" w:hAnsi="arial" w:cs="arial"/>
          <w:b w:val="0"/>
          <w:i w:val="0"/>
          <w:strike w:val="0"/>
          <w:noProof w:val="0"/>
          <w:color w:val="000000"/>
          <w:position w:val="0"/>
          <w:sz w:val="20"/>
          <w:u w:val="none"/>
          <w:vertAlign w:val="baseline"/>
        </w:rPr>
        <w:t xml:space="preserve">This statement runs counter to Defendant's earlier understanding of her role in the alien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operation. As Defendant pleaded guilty, she signed a factual basis provided by the Government, which noted that Defendant purportedly "told [other smugglers] that she [Defendant] and her brother coordinate alien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schemes and asked them if 'they wanted to make some money driving people from south Texas.'"</w:t>
      </w:r>
      <w:r>
        <w:rPr>
          <w:rFonts w:ascii="arial" w:eastAsia="arial" w:hAnsi="arial" w:cs="arial"/>
          <w:vertAlign w:val="superscript"/>
        </w:rPr>
        <w:footnoteReference w:customMarkFollows="1" w:id="30"/>
        <w:t xml:space="preserve">29</w:t>
      </w:r>
      <w:r>
        <w:rPr>
          <w:rFonts w:ascii="arial" w:eastAsia="arial" w:hAnsi="arial" w:cs="arial"/>
          <w:b w:val="0"/>
          <w:i w:val="0"/>
          <w:strike w:val="0"/>
          <w:noProof w:val="0"/>
          <w:color w:val="000000"/>
          <w:position w:val="0"/>
          <w:sz w:val="20"/>
          <w:u w:val="none"/>
          <w:vertAlign w:val="baseline"/>
        </w:rPr>
        <w:t xml:space="preserve"> Defendant's signing of the factual basis equates to a stipulation to these facts, as she stated at the re-arraignment.</w:t>
      </w:r>
      <w:r>
        <w:rPr>
          <w:rFonts w:ascii="arial" w:eastAsia="arial" w:hAnsi="arial" w:cs="arial"/>
          <w:vertAlign w:val="superscript"/>
        </w:rPr>
        <w:footnoteReference w:customMarkFollows="1" w:id="31"/>
        <w:t xml:space="preserve">30</w:t>
      </w:r>
      <w:r>
        <w:rPr>
          <w:rFonts w:ascii="arial" w:eastAsia="arial" w:hAnsi="arial" w:cs="arial"/>
          <w:b w:val="0"/>
          <w:i w:val="0"/>
          <w:strike w:val="0"/>
          <w:noProof w:val="0"/>
          <w:color w:val="000000"/>
          <w:position w:val="0"/>
          <w:sz w:val="20"/>
          <w:u w:val="none"/>
          <w:vertAlign w:val="baseline"/>
        </w:rPr>
        <w:t xml:space="preserve"> If she and her brother coordinated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schemes and made offers to other smugglers to partake in their illicit operation, it is difficult to see how Defendant was but a mere bystander caught in the migration crossfire.</w:t>
      </w:r>
      <w:r>
        <w:rPr>
          <w:rFonts w:ascii="arial" w:eastAsia="arial" w:hAnsi="arial" w:cs="arial"/>
          <w:vertAlign w:val="superscript"/>
        </w:rPr>
        <w:footnoteReference w:customMarkFollows="1" w:id="32"/>
        <w:t xml:space="preserve">31</w:t>
      </w:r>
      <w:r>
        <w:rPr>
          <w:rFonts w:ascii="arial" w:eastAsia="arial" w:hAnsi="arial" w:cs="arial"/>
          <w:b w:val="0"/>
          <w:i w:val="0"/>
          <w:strike w:val="0"/>
          <w:noProof w:val="0"/>
          <w:color w:val="000000"/>
          <w:position w:val="0"/>
          <w:sz w:val="20"/>
          <w:u w:val="none"/>
          <w:vertAlign w:val="baseline"/>
        </w:rPr>
        <w:t xml:space="preserve"> Further, Defendant does not cite to any statements in the PSR which</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may conflict with the factual basis. In fact, the PSR affirms that the justification for her charges is Defendant's recruitment of the other smugglers.</w:t>
      </w:r>
      <w:r>
        <w:rPr>
          <w:rFonts w:ascii="arial" w:eastAsia="arial" w:hAnsi="arial" w:cs="arial"/>
          <w:vertAlign w:val="superscript"/>
        </w:rPr>
        <w:footnoteReference w:customMarkFollows="1" w:id="33"/>
        <w:t xml:space="preserve">32</w:t>
      </w:r>
      <w:r>
        <w:rPr>
          <w:rFonts w:ascii="arial" w:eastAsia="arial" w:hAnsi="arial" w:cs="arial"/>
          <w:b w:val="0"/>
          <w:i w:val="0"/>
          <w:strike w:val="0"/>
          <w:noProof w:val="0"/>
          <w:color w:val="000000"/>
          <w:position w:val="0"/>
          <w:sz w:val="20"/>
          <w:u w:val="none"/>
          <w:vertAlign w:val="baseline"/>
        </w:rPr>
        <w:t xml:space="preserve"> If there are inconsistencies between the PSR and the factual basis, they are not otherwise readily apparent.</w:t>
      </w:r>
    </w:p>
    <w:p>
      <w:pPr>
        <w:keepNext w:val="0"/>
        <w:spacing w:before="200" w:after="0" w:line="260" w:lineRule="atLeast"/>
        <w:ind w:left="0" w:right="0" w:firstLine="0"/>
        <w:jc w:val="both"/>
      </w:pPr>
      <w:bookmarkStart w:id="116" w:name="Bookmark_para_26"/>
      <w:bookmarkEnd w:id="116"/>
      <w:r>
        <w:rPr>
          <w:rFonts w:ascii="arial" w:eastAsia="arial" w:hAnsi="arial" w:cs="arial"/>
          <w:b w:val="0"/>
          <w:i w:val="0"/>
          <w:strike w:val="0"/>
          <w:noProof w:val="0"/>
          <w:color w:val="000000"/>
          <w:position w:val="0"/>
          <w:sz w:val="20"/>
          <w:u w:val="none"/>
          <w:vertAlign w:val="baseline"/>
        </w:rPr>
        <w:t xml:space="preserve">Plainly, Defendant's argument on this ground contradicts her own prior stipulations and has no basis in fact. Therefore, the Motion to Vacate is </w:t>
      </w:r>
      <w:r>
        <w:rPr>
          <w:rFonts w:ascii="arial" w:eastAsia="arial" w:hAnsi="arial" w:cs="arial"/>
          <w:b/>
          <w:i w:val="0"/>
          <w:strike w:val="0"/>
          <w:noProof w:val="0"/>
          <w:color w:val="000000"/>
          <w:position w:val="0"/>
          <w:sz w:val="20"/>
          <w:u w:val="none"/>
          <w:vertAlign w:val="baseline"/>
        </w:rPr>
        <w:t>DENIED</w:t>
      </w:r>
      <w:r>
        <w:rPr>
          <w:rFonts w:ascii="arial" w:eastAsia="arial" w:hAnsi="arial" w:cs="arial"/>
          <w:b w:val="0"/>
          <w:i w:val="0"/>
          <w:strike w:val="0"/>
          <w:noProof w:val="0"/>
          <w:color w:val="000000"/>
          <w:position w:val="0"/>
          <w:sz w:val="20"/>
          <w:u w:val="none"/>
          <w:vertAlign w:val="baseline"/>
        </w:rPr>
        <w:t xml:space="preserve"> as to Ground Two.</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 Ground Three: False Accusations</w:t>
      </w:r>
    </w:p>
    <w:p>
      <w:pPr>
        <w:keepNext w:val="0"/>
        <w:spacing w:before="200" w:after="0" w:line="260" w:lineRule="atLeast"/>
        <w:ind w:left="0" w:right="0" w:firstLine="0"/>
        <w:jc w:val="both"/>
      </w:pPr>
      <w:bookmarkStart w:id="117" w:name="Bookmark_para_27"/>
      <w:bookmarkEnd w:id="117"/>
      <w:r>
        <w:rPr>
          <w:rFonts w:ascii="arial" w:eastAsia="arial" w:hAnsi="arial" w:cs="arial"/>
          <w:b w:val="0"/>
          <w:i w:val="0"/>
          <w:strike w:val="0"/>
          <w:noProof w:val="0"/>
          <w:color w:val="000000"/>
          <w:position w:val="0"/>
          <w:sz w:val="20"/>
          <w:u w:val="none"/>
          <w:vertAlign w:val="baseline"/>
        </w:rPr>
        <w:t>Defendant's third ground suggests that Count Two, aiding and abetting the transportation of illegal aliens, was based on false accusations. Defendant explains that Avila, her sister-in-law and co-Defendant, was actually the "boss" and provided the other smugglers "with a place to stay, money to spend, and directions on how to do the job."</w:t>
      </w:r>
      <w:r>
        <w:rPr>
          <w:rFonts w:ascii="arial" w:eastAsia="arial" w:hAnsi="arial" w:cs="arial"/>
          <w:vertAlign w:val="superscript"/>
        </w:rPr>
        <w:footnoteReference w:customMarkFollows="1" w:id="34"/>
        <w:t xml:space="preserve">33</w:t>
      </w:r>
    </w:p>
    <w:p>
      <w:pPr>
        <w:keepNext w:val="0"/>
        <w:spacing w:before="200" w:after="0" w:line="260" w:lineRule="atLeast"/>
        <w:ind w:left="0" w:right="0" w:firstLine="0"/>
        <w:jc w:val="both"/>
      </w:pPr>
      <w:bookmarkStart w:id="119" w:name="Bookmark_para_28"/>
      <w:bookmarkEnd w:id="119"/>
      <w:r>
        <w:rPr>
          <w:rFonts w:ascii="arial" w:eastAsia="arial" w:hAnsi="arial" w:cs="arial"/>
          <w:b w:val="0"/>
          <w:i w:val="0"/>
          <w:strike w:val="0"/>
          <w:noProof w:val="0"/>
          <w:color w:val="000000"/>
          <w:position w:val="0"/>
          <w:sz w:val="20"/>
          <w:u w:val="none"/>
          <w:vertAlign w:val="baseline"/>
        </w:rPr>
        <w:t xml:space="preserve">As noted in the Court's discussion of Ground Two, Defendant stipulated to the facts outlined in the Government's factual basis. In other words, Defendant agreed that she was involved in coordinating the other smugglers' activities in at least one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event. Defendant elsewhere, according to the factual basis, also kept a recreational vehicle ("RV") on her property. The other smugglers</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stayed at the RV, at which Defendant paid them money for their services.</w:t>
      </w:r>
      <w:r>
        <w:rPr>
          <w:rFonts w:ascii="arial" w:eastAsia="arial" w:hAnsi="arial" w:cs="arial"/>
          <w:vertAlign w:val="superscript"/>
        </w:rPr>
        <w:footnoteReference w:customMarkFollows="1" w:id="35"/>
        <w:t xml:space="preserve">34</w:t>
      </w:r>
      <w:r>
        <w:rPr>
          <w:rFonts w:ascii="arial" w:eastAsia="arial" w:hAnsi="arial" w:cs="arial"/>
          <w:b w:val="0"/>
          <w:i w:val="0"/>
          <w:strike w:val="0"/>
          <w:noProof w:val="0"/>
          <w:color w:val="000000"/>
          <w:position w:val="0"/>
          <w:sz w:val="20"/>
          <w:u w:val="none"/>
          <w:vertAlign w:val="baseline"/>
        </w:rPr>
        <w:t xml:space="preserve"> Her statements here that she played no role in housing the other smugglers thus contradict her earlier stipulations.</w:t>
      </w:r>
    </w:p>
    <w:p>
      <w:pPr>
        <w:keepNext w:val="0"/>
        <w:spacing w:before="200" w:after="0" w:line="260" w:lineRule="atLeast"/>
        <w:ind w:left="0" w:right="0" w:firstLine="0"/>
        <w:jc w:val="both"/>
      </w:pPr>
      <w:bookmarkStart w:id="121" w:name="Bookmark_para_29"/>
      <w:bookmarkEnd w:id="121"/>
      <w:r>
        <w:rPr>
          <w:rFonts w:ascii="arial" w:eastAsia="arial" w:hAnsi="arial" w:cs="arial"/>
          <w:b w:val="0"/>
          <w:i w:val="0"/>
          <w:strike w:val="0"/>
          <w:noProof w:val="0"/>
          <w:color w:val="000000"/>
          <w:position w:val="0"/>
          <w:sz w:val="20"/>
          <w:u w:val="none"/>
          <w:vertAlign w:val="baseline"/>
        </w:rPr>
        <w:t>Lastly, Defendant does not explain which statements or accusations were false. The factual basis mirrors Defendant's claim that Avila was indeed the "Jefa," "Patrona," and "Boss." Defendant has not supplied authority showing that aiding and abetting of the transportation of illegal aliens requires one to be the sole leader of an operation to be charged. Even if Defendant were not the "boss," therefore, Defendant could still be charged as she was. With no explanation of the basis of her claim for relief, relief cannot be granted.</w:t>
      </w:r>
    </w:p>
    <w:p>
      <w:pPr>
        <w:keepNext w:val="0"/>
        <w:spacing w:before="200" w:after="0" w:line="260" w:lineRule="atLeast"/>
        <w:ind w:left="0" w:right="0" w:firstLine="0"/>
        <w:jc w:val="both"/>
      </w:pPr>
      <w:bookmarkStart w:id="122" w:name="Bookmark_para_30"/>
      <w:bookmarkEnd w:id="122"/>
      <w:r>
        <w:rPr>
          <w:rFonts w:ascii="arial" w:eastAsia="arial" w:hAnsi="arial" w:cs="arial"/>
          <w:b w:val="0"/>
          <w:i w:val="0"/>
          <w:strike w:val="0"/>
          <w:noProof w:val="0"/>
          <w:color w:val="000000"/>
          <w:position w:val="0"/>
          <w:sz w:val="20"/>
          <w:u w:val="none"/>
          <w:vertAlign w:val="baseline"/>
        </w:rPr>
        <w:t xml:space="preserve">The Motion to Vacate is </w:t>
      </w:r>
      <w:r>
        <w:rPr>
          <w:rFonts w:ascii="arial" w:eastAsia="arial" w:hAnsi="arial" w:cs="arial"/>
          <w:b/>
          <w:i w:val="0"/>
          <w:strike w:val="0"/>
          <w:noProof w:val="0"/>
          <w:color w:val="000000"/>
          <w:position w:val="0"/>
          <w:sz w:val="20"/>
          <w:u w:val="none"/>
          <w:vertAlign w:val="baseline"/>
        </w:rPr>
        <w:t>DENIED</w:t>
      </w:r>
      <w:r>
        <w:rPr>
          <w:rFonts w:ascii="arial" w:eastAsia="arial" w:hAnsi="arial" w:cs="arial"/>
          <w:b w:val="0"/>
          <w:i w:val="0"/>
          <w:strike w:val="0"/>
          <w:noProof w:val="0"/>
          <w:color w:val="000000"/>
          <w:position w:val="0"/>
          <w:sz w:val="20"/>
          <w:u w:val="none"/>
          <w:vertAlign w:val="baseline"/>
        </w:rPr>
        <w:t xml:space="preserve"> as to Ground Three.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E. Ground Four: Inconsistencies in Aliens </w:t>
      </w:r>
      <w:r>
        <w:rPr>
          <w:rFonts w:ascii="arial" w:eastAsia="arial" w:hAnsi="arial" w:cs="arial"/>
          <w:b/>
          <w:i/>
          <w:strike w:val="0"/>
          <w:noProof w:val="0"/>
          <w:color w:val="000000"/>
          <w:position w:val="0"/>
          <w:sz w:val="20"/>
          <w:u w:val="single"/>
          <w:vertAlign w:val="baseline"/>
        </w:rPr>
        <w:t>Smuggled</w:t>
      </w:r>
    </w:p>
    <w:p>
      <w:pPr>
        <w:keepNext w:val="0"/>
        <w:spacing w:before="200" w:after="0" w:line="260" w:lineRule="atLeast"/>
        <w:ind w:left="0" w:right="0" w:firstLine="0"/>
        <w:jc w:val="both"/>
      </w:pPr>
      <w:bookmarkStart w:id="123" w:name="Bookmark_para_31"/>
      <w:bookmarkEnd w:id="123"/>
      <w:r>
        <w:rPr>
          <w:rFonts w:ascii="arial" w:eastAsia="arial" w:hAnsi="arial" w:cs="arial"/>
          <w:b w:val="0"/>
          <w:i w:val="0"/>
          <w:strike w:val="0"/>
          <w:noProof w:val="0"/>
          <w:color w:val="000000"/>
          <w:position w:val="0"/>
          <w:sz w:val="20"/>
          <w:u w:val="none"/>
          <w:vertAlign w:val="baseline"/>
        </w:rPr>
        <w:t xml:space="preserve">In a similar vein to Ground Two, Defendant claims that there are inconsistencies in the factual basis and PSR as to the number of aliens </w:t>
      </w:r>
      <w:r>
        <w:rPr>
          <w:rFonts w:ascii="arial" w:eastAsia="arial" w:hAnsi="arial" w:cs="arial"/>
          <w:b/>
          <w:i/>
          <w:strike w:val="0"/>
          <w:noProof w:val="0"/>
          <w:color w:val="000000"/>
          <w:position w:val="0"/>
          <w:sz w:val="20"/>
          <w:u w:val="single"/>
          <w:vertAlign w:val="baseline"/>
        </w:rPr>
        <w:t>smuggled</w:t>
      </w:r>
      <w:r>
        <w:rPr>
          <w:rFonts w:ascii="arial" w:eastAsia="arial" w:hAnsi="arial" w:cs="arial"/>
          <w:b w:val="0"/>
          <w:i w:val="0"/>
          <w:strike w:val="0"/>
          <w:noProof w:val="0"/>
          <w:color w:val="000000"/>
          <w:position w:val="0"/>
          <w:sz w:val="20"/>
          <w:u w:val="none"/>
          <w:vertAlign w:val="baseline"/>
        </w:rPr>
        <w:t xml:space="preserve"> and of the occurrences of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events. She claims that the PSR states suggests she was involved in only two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events involving eight illegals each, for a total of sixteen illegals. Defendant contends the factual basis</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lists three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events featuring "five to eight," "approximately six," and eight illegals, resulting in a range of nineteen to twenty-one.</w:t>
      </w:r>
      <w:r>
        <w:rPr>
          <w:rFonts w:ascii="arial" w:eastAsia="arial" w:hAnsi="arial" w:cs="arial"/>
          <w:vertAlign w:val="superscript"/>
        </w:rPr>
        <w:footnoteReference w:customMarkFollows="1" w:id="36"/>
        <w:t xml:space="preserve">35</w:t>
      </w:r>
    </w:p>
    <w:p>
      <w:pPr>
        <w:keepNext w:val="0"/>
        <w:spacing w:before="200" w:after="0" w:line="260" w:lineRule="atLeast"/>
        <w:ind w:left="0" w:right="0" w:firstLine="0"/>
        <w:jc w:val="both"/>
      </w:pPr>
      <w:bookmarkStart w:id="125" w:name="Bookmark_para_32"/>
      <w:bookmarkEnd w:id="125"/>
      <w:r>
        <w:rPr>
          <w:rFonts w:ascii="arial" w:eastAsia="arial" w:hAnsi="arial" w:cs="arial"/>
          <w:b w:val="0"/>
          <w:i w:val="0"/>
          <w:strike w:val="0"/>
          <w:noProof w:val="0"/>
          <w:color w:val="000000"/>
          <w:position w:val="0"/>
          <w:sz w:val="20"/>
          <w:u w:val="none"/>
          <w:vertAlign w:val="baseline"/>
        </w:rPr>
        <w:t xml:space="preserve">The Court is not convinced that these "errors," if they exist at all, prejudice Defendant. As the Government notes, the PSR credited Defendant with the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of nineteen aliens across two events.</w:t>
      </w:r>
      <w:r>
        <w:rPr>
          <w:rFonts w:ascii="arial" w:eastAsia="arial" w:hAnsi="arial" w:cs="arial"/>
          <w:vertAlign w:val="superscript"/>
        </w:rPr>
        <w:footnoteReference w:customMarkFollows="1" w:id="37"/>
        <w:t xml:space="preserve">36</w:t>
      </w:r>
      <w:r>
        <w:rPr>
          <w:rFonts w:ascii="arial" w:eastAsia="arial" w:hAnsi="arial" w:cs="arial"/>
          <w:b w:val="0"/>
          <w:i w:val="0"/>
          <w:strike w:val="0"/>
          <w:noProof w:val="0"/>
          <w:color w:val="000000"/>
          <w:position w:val="0"/>
          <w:sz w:val="20"/>
          <w:u w:val="none"/>
          <w:vertAlign w:val="baseline"/>
        </w:rPr>
        <w:t xml:space="preserve"> The factual basis appears to indicate that there were three events with nineteen to twenty-one illegals </w:t>
      </w:r>
      <w:r>
        <w:rPr>
          <w:rFonts w:ascii="arial" w:eastAsia="arial" w:hAnsi="arial" w:cs="arial"/>
          <w:b/>
          <w:i/>
          <w:strike w:val="0"/>
          <w:noProof w:val="0"/>
          <w:color w:val="000000"/>
          <w:position w:val="0"/>
          <w:sz w:val="20"/>
          <w:u w:val="single"/>
          <w:vertAlign w:val="baseline"/>
        </w:rPr>
        <w:t>smuggled</w:t>
      </w:r>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38"/>
        <w:t xml:space="preserve">37</w:t>
      </w:r>
      <w:r>
        <w:rPr>
          <w:rFonts w:ascii="arial" w:eastAsia="arial" w:hAnsi="arial" w:cs="arial"/>
          <w:b w:val="0"/>
          <w:i w:val="0"/>
          <w:strike w:val="0"/>
          <w:noProof w:val="0"/>
          <w:color w:val="000000"/>
          <w:position w:val="0"/>
          <w:sz w:val="20"/>
          <w:u w:val="none"/>
          <w:vertAlign w:val="baseline"/>
        </w:rPr>
        <w:t xml:space="preserve"> Despite these apparent "inaccuracies," the materiality of which is not explicated by Defendant, Defendant said under oath at the re-arraignment that the facts as set forth in the factual basis were correct.</w:t>
      </w:r>
      <w:r>
        <w:rPr>
          <w:rFonts w:ascii="arial" w:eastAsia="arial" w:hAnsi="arial" w:cs="arial"/>
          <w:vertAlign w:val="superscript"/>
        </w:rPr>
        <w:footnoteReference w:customMarkFollows="1" w:id="39"/>
        <w:t xml:space="preserve">38</w:t>
      </w:r>
      <w:r>
        <w:rPr>
          <w:rFonts w:ascii="arial" w:eastAsia="arial" w:hAnsi="arial" w:cs="arial"/>
          <w:b w:val="0"/>
          <w:i w:val="0"/>
          <w:strike w:val="0"/>
          <w:noProof w:val="0"/>
          <w:color w:val="000000"/>
          <w:position w:val="0"/>
          <w:sz w:val="20"/>
          <w:u w:val="none"/>
          <w:vertAlign w:val="baseline"/>
        </w:rPr>
        <w:t xml:space="preserve"> Although the PSR was prepared after Defendant pleaded guilty and affirmed the facts of the factual basis, the PSR gives her credit for transporting fewer illegals over fewer events than even the factual basis asserts. It is thus unclear how this would prejudice or negatively affect Defendant in any way.</w:t>
      </w:r>
    </w:p>
    <w:p>
      <w:pPr>
        <w:keepNext w:val="0"/>
        <w:spacing w:before="200" w:after="0" w:line="260" w:lineRule="atLeast"/>
        <w:ind w:left="0" w:right="0" w:firstLine="0"/>
        <w:jc w:val="both"/>
      </w:pPr>
      <w:bookmarkStart w:id="129" w:name="Bookmark_para_33"/>
      <w:bookmarkEnd w:id="129"/>
      <w:r>
        <w:rPr>
          <w:rFonts w:ascii="arial" w:eastAsia="arial" w:hAnsi="arial" w:cs="arial"/>
          <w:b w:val="0"/>
          <w:i w:val="0"/>
          <w:strike w:val="0"/>
          <w:noProof w:val="0"/>
          <w:color w:val="000000"/>
          <w:position w:val="0"/>
          <w:sz w:val="20"/>
          <w:u w:val="none"/>
          <w:vertAlign w:val="baseline"/>
        </w:rPr>
        <w:t xml:space="preserve">Defendant's request for "guideline" and sentencing adjustment is likewise baseless. She does not point to what she believes would be a more appropriate guideline for her sentence. The guidelines, if her illegals and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events</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counts were adjusted as requested, do not provide for any adjustment. In particular, the offense level recommended in the PSR and guidelines would remain the same whether Defendant transported sixteen, nineteen, or twenty-one illegals.</w:t>
      </w:r>
      <w:r>
        <w:rPr>
          <w:rFonts w:ascii="arial" w:eastAsia="arial" w:hAnsi="arial" w:cs="arial"/>
          <w:vertAlign w:val="superscript"/>
        </w:rPr>
        <w:footnoteReference w:customMarkFollows="1" w:id="40"/>
        <w:t xml:space="preserve">39</w:t>
      </w:r>
      <w:r>
        <w:rPr>
          <w:rFonts w:ascii="arial" w:eastAsia="arial" w:hAnsi="arial" w:cs="arial"/>
          <w:b w:val="0"/>
          <w:i w:val="0"/>
          <w:strike w:val="0"/>
          <w:noProof w:val="0"/>
          <w:color w:val="000000"/>
          <w:position w:val="0"/>
          <w:sz w:val="20"/>
          <w:u w:val="none"/>
          <w:vertAlign w:val="baseline"/>
        </w:rPr>
        <w:t xml:space="preserve"> If they somehow did, it would certainly not be in her favor. Defendant does not suggest otherwise.</w:t>
      </w:r>
    </w:p>
    <w:p>
      <w:pPr>
        <w:keepNext w:val="0"/>
        <w:spacing w:before="200" w:after="0" w:line="260" w:lineRule="atLeast"/>
        <w:ind w:left="0" w:right="0" w:firstLine="0"/>
        <w:jc w:val="both"/>
      </w:pPr>
      <w:bookmarkStart w:id="131" w:name="Bookmark_para_34"/>
      <w:bookmarkEnd w:id="131"/>
      <w:r>
        <w:rPr>
          <w:rFonts w:ascii="arial" w:eastAsia="arial" w:hAnsi="arial" w:cs="arial"/>
          <w:b w:val="0"/>
          <w:i w:val="0"/>
          <w:strike w:val="0"/>
          <w:noProof w:val="0"/>
          <w:color w:val="000000"/>
          <w:position w:val="0"/>
          <w:sz w:val="20"/>
          <w:u w:val="none"/>
          <w:vertAlign w:val="baseline"/>
        </w:rPr>
        <w:t xml:space="preserve">Therefore, the Motion to Vacate is </w:t>
      </w:r>
      <w:r>
        <w:rPr>
          <w:rFonts w:ascii="arial" w:eastAsia="arial" w:hAnsi="arial" w:cs="arial"/>
          <w:b/>
          <w:i w:val="0"/>
          <w:strike w:val="0"/>
          <w:noProof w:val="0"/>
          <w:color w:val="000000"/>
          <w:position w:val="0"/>
          <w:sz w:val="20"/>
          <w:u w:val="none"/>
          <w:vertAlign w:val="baseline"/>
        </w:rPr>
        <w:t>DENIED</w:t>
      </w:r>
      <w:r>
        <w:rPr>
          <w:rFonts w:ascii="arial" w:eastAsia="arial" w:hAnsi="arial" w:cs="arial"/>
          <w:b w:val="0"/>
          <w:i w:val="0"/>
          <w:strike w:val="0"/>
          <w:noProof w:val="0"/>
          <w:color w:val="000000"/>
          <w:position w:val="0"/>
          <w:sz w:val="20"/>
          <w:u w:val="none"/>
          <w:vertAlign w:val="baseline"/>
        </w:rPr>
        <w:t xml:space="preserve"> as to Ground Four.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F. Ground "Five": Immigration Consequences</w:t>
      </w:r>
    </w:p>
    <w:p>
      <w:pPr>
        <w:keepNext w:val="0"/>
        <w:spacing w:before="200" w:after="0" w:line="260" w:lineRule="atLeast"/>
        <w:ind w:left="0" w:right="0" w:firstLine="0"/>
        <w:jc w:val="both"/>
      </w:pPr>
      <w:bookmarkStart w:id="132" w:name="Bookmark_para_35"/>
      <w:bookmarkEnd w:id="132"/>
      <w:r>
        <w:rPr>
          <w:rFonts w:ascii="arial" w:eastAsia="arial" w:hAnsi="arial" w:cs="arial"/>
          <w:b w:val="0"/>
          <w:i w:val="0"/>
          <w:strike w:val="0"/>
          <w:noProof w:val="0"/>
          <w:color w:val="000000"/>
          <w:position w:val="0"/>
          <w:sz w:val="20"/>
          <w:u w:val="none"/>
          <w:vertAlign w:val="baseline"/>
        </w:rPr>
        <w:t>Though not a directly stated ground for relief, Defendant claims that she "was never warned that if [she] plead[s] guilty [she] will be facing deportation."</w:t>
      </w:r>
      <w:r>
        <w:rPr>
          <w:rFonts w:ascii="arial" w:eastAsia="arial" w:hAnsi="arial" w:cs="arial"/>
          <w:vertAlign w:val="superscript"/>
        </w:rPr>
        <w:footnoteReference w:customMarkFollows="1" w:id="41"/>
        <w:t xml:space="preserve">40</w:t>
      </w:r>
      <w:r>
        <w:rPr>
          <w:rFonts w:ascii="arial" w:eastAsia="arial" w:hAnsi="arial" w:cs="arial"/>
          <w:b w:val="0"/>
          <w:i w:val="0"/>
          <w:strike w:val="0"/>
          <w:noProof w:val="0"/>
          <w:color w:val="000000"/>
          <w:position w:val="0"/>
          <w:sz w:val="20"/>
          <w:u w:val="none"/>
          <w:vertAlign w:val="baseline"/>
        </w:rPr>
        <w:t xml:space="preserve"> This is plainly contradicted by Defendant's own statements. At the re-arraignment, Defendant told the Court she had discussed with Mr. Wyatt "the effects or consequences" of the guilty plea on her immigration status. Mr. Wyatt also mentioned that he and Susana Reyes, Defendant's immigration attorney, discussed the "potential impact of th[e] plea o[n] her immigration status," and the possibility of her being "deported." The Court admonished Defendant as well that, following her plea, she "will more than likely be deported and removed from the United States." Nevertheless, she confirmed that she still</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wished to plead guilty.</w:t>
      </w:r>
      <w:r>
        <w:rPr>
          <w:rFonts w:ascii="arial" w:eastAsia="arial" w:hAnsi="arial" w:cs="arial"/>
          <w:vertAlign w:val="superscript"/>
        </w:rPr>
        <w:footnoteReference w:customMarkFollows="1" w:id="42"/>
        <w:t xml:space="preserve">41</w:t>
      </w:r>
      <w:r>
        <w:rPr>
          <w:rFonts w:ascii="arial" w:eastAsia="arial" w:hAnsi="arial" w:cs="arial"/>
          <w:b w:val="0"/>
          <w:i w:val="0"/>
          <w:strike w:val="0"/>
          <w:noProof w:val="0"/>
          <w:color w:val="000000"/>
          <w:position w:val="0"/>
          <w:sz w:val="20"/>
          <w:u w:val="none"/>
          <w:vertAlign w:val="baseline"/>
        </w:rPr>
        <w:t xml:space="preserve"> Beyond the re-arraignment, an affidavit by Mr. Wyatt explains that he and Ms. Reyes warned Defendant "several times" of the immigration impacts of her guilty plea.</w:t>
      </w:r>
      <w:r>
        <w:rPr>
          <w:rFonts w:ascii="arial" w:eastAsia="arial" w:hAnsi="arial" w:cs="arial"/>
          <w:vertAlign w:val="superscript"/>
        </w:rPr>
        <w:footnoteReference w:customMarkFollows="1" w:id="43"/>
        <w:t xml:space="preserve">42</w:t>
      </w:r>
      <w:r>
        <w:rPr>
          <w:rFonts w:ascii="arial" w:eastAsia="arial" w:hAnsi="arial" w:cs="arial"/>
          <w:b w:val="0"/>
          <w:i w:val="0"/>
          <w:strike w:val="0"/>
          <w:noProof w:val="0"/>
          <w:color w:val="000000"/>
          <w:position w:val="0"/>
          <w:sz w:val="20"/>
          <w:u w:val="none"/>
          <w:vertAlign w:val="baseline"/>
        </w:rPr>
        <w:t xml:space="preserve"> Defendant's arguments of ignorance are contradictory to the facts in this case and are insufficient to warrant relief.</w:t>
      </w:r>
    </w:p>
    <w:p>
      <w:pPr>
        <w:keepNext w:val="0"/>
        <w:spacing w:before="200" w:after="0" w:line="260" w:lineRule="atLeast"/>
        <w:ind w:left="0" w:right="0" w:firstLine="0"/>
        <w:jc w:val="both"/>
      </w:pPr>
      <w:bookmarkStart w:id="136" w:name="Bookmark_para_36"/>
      <w:bookmarkEnd w:id="136"/>
      <w:r>
        <w:rPr>
          <w:rFonts w:ascii="arial" w:eastAsia="arial" w:hAnsi="arial" w:cs="arial"/>
          <w:b w:val="0"/>
          <w:i w:val="0"/>
          <w:strike w:val="0"/>
          <w:noProof w:val="0"/>
          <w:color w:val="000000"/>
          <w:position w:val="0"/>
          <w:sz w:val="20"/>
          <w:u w:val="none"/>
          <w:vertAlign w:val="baseline"/>
        </w:rPr>
        <w:t xml:space="preserve">Therefore, the Motion to Vacate is </w:t>
      </w:r>
      <w:r>
        <w:rPr>
          <w:rFonts w:ascii="arial" w:eastAsia="arial" w:hAnsi="arial" w:cs="arial"/>
          <w:b/>
          <w:i w:val="0"/>
          <w:strike w:val="0"/>
          <w:noProof w:val="0"/>
          <w:color w:val="000000"/>
          <w:position w:val="0"/>
          <w:sz w:val="20"/>
          <w:u w:val="none"/>
          <w:vertAlign w:val="baseline"/>
        </w:rPr>
        <w:t>DENIED</w:t>
      </w:r>
      <w:r>
        <w:rPr>
          <w:rFonts w:ascii="arial" w:eastAsia="arial" w:hAnsi="arial" w:cs="arial"/>
          <w:b w:val="0"/>
          <w:i w:val="0"/>
          <w:strike w:val="0"/>
          <w:noProof w:val="0"/>
          <w:color w:val="000000"/>
          <w:position w:val="0"/>
          <w:sz w:val="20"/>
          <w:u w:val="none"/>
          <w:vertAlign w:val="baseline"/>
        </w:rPr>
        <w:t xml:space="preserve"> to the extent it asserts an additional ground for ignorance of her immigration consequences.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 Certificate of Appealability</w:t>
      </w:r>
    </w:p>
    <w:p>
      <w:pPr>
        <w:keepNext w:val="0"/>
        <w:spacing w:before="240" w:after="0" w:line="260" w:lineRule="atLeast"/>
        <w:ind w:left="0" w:right="0" w:firstLine="0"/>
        <w:jc w:val="both"/>
      </w:pPr>
      <w:bookmarkStart w:id="137" w:name="Bookmark_para_37"/>
      <w:bookmarkEnd w:id="137"/>
      <w:bookmarkStart w:id="138" w:name="Bookmark_I6820TV028T4G60030000400"/>
      <w:bookmarkEnd w:id="138"/>
      <w:bookmarkStart w:id="139" w:name="Bookmark_I6820TV028T4G60050000400"/>
      <w:bookmarkEnd w:id="139"/>
      <w:r>
        <w:rPr>
          <w:rFonts w:ascii="arial" w:eastAsia="arial" w:hAnsi="arial" w:cs="arial"/>
          <w:b w:val="0"/>
          <w:i w:val="0"/>
          <w:strike w:val="0"/>
          <w:noProof w:val="0"/>
          <w:color w:val="000000"/>
          <w:position w:val="0"/>
          <w:sz w:val="20"/>
          <w:u w:val="none"/>
          <w:vertAlign w:val="baseline"/>
        </w:rPr>
        <w:t>Defendant has not yet moved for a certificate of appealability from this Court, but the Court can nevertheless consider whether this case's merits warrant granting one at this stage.</w:t>
      </w:r>
      <w:r>
        <w:rPr>
          <w:rFonts w:ascii="arial" w:eastAsia="arial" w:hAnsi="arial" w:cs="arial"/>
          <w:vertAlign w:val="superscript"/>
        </w:rPr>
        <w:footnoteReference w:customMarkFollows="1" w:id="44"/>
        <w:t xml:space="preserve">43</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Federal Rule of Appellate Procedure 22</w:t>
      </w:r>
      <w:r>
        <w:rPr>
          <w:rFonts w:ascii="arial" w:eastAsia="arial" w:hAnsi="arial" w:cs="arial"/>
          <w:b w:val="0"/>
          <w:i w:val="0"/>
          <w:strike w:val="0"/>
          <w:noProof w:val="0"/>
          <w:color w:val="000000"/>
          <w:position w:val="0"/>
          <w:sz w:val="20"/>
          <w:u w:val="none"/>
          <w:vertAlign w:val="baseline"/>
        </w:rPr>
        <w:t xml:space="preserve"> provides that an appeal to the Fifth Circuit may not be taken from a final order in a habeas corpus proceeding unless the Fifth Circuit itself issues a certificate of appealability.</w:t>
      </w:r>
      <w:r>
        <w:rPr>
          <w:rFonts w:ascii="arial" w:eastAsia="arial" w:hAnsi="arial" w:cs="arial"/>
          <w:vertAlign w:val="superscript"/>
        </w:rPr>
        <w:footnoteReference w:customMarkFollows="1" w:id="45"/>
        <w:t xml:space="preserve">44</w:t>
      </w:r>
      <w:r>
        <w:rPr>
          <w:rFonts w:ascii="arial" w:eastAsia="arial" w:hAnsi="arial" w:cs="arial"/>
          <w:b w:val="0"/>
          <w:i w:val="0"/>
          <w:strike w:val="0"/>
          <w:noProof w:val="0"/>
          <w:color w:val="000000"/>
          <w:position w:val="0"/>
          <w:sz w:val="20"/>
          <w:u w:val="none"/>
          <w:vertAlign w:val="baseline"/>
        </w:rPr>
        <w:t xml:space="preserve"> </w:t>
      </w:r>
      <w:hyperlink r:id="rId13" w:history="1">
        <w:r>
          <w:rPr>
            <w:rFonts w:ascii="arial" w:eastAsia="arial" w:hAnsi="arial" w:cs="arial"/>
            <w:b w:val="0"/>
            <w:i/>
            <w:strike w:val="0"/>
            <w:noProof w:val="0"/>
            <w:color w:val="0077CC"/>
            <w:position w:val="0"/>
            <w:sz w:val="20"/>
            <w:u w:val="single"/>
            <w:vertAlign w:val="baseline"/>
          </w:rPr>
          <w:t>Rule 11 of the Federal Rules Governing Section 2255 Cases</w:t>
        </w:r>
      </w:hyperlink>
      <w:r>
        <w:rPr>
          <w:rFonts w:ascii="arial" w:eastAsia="arial" w:hAnsi="arial" w:cs="arial"/>
          <w:b w:val="0"/>
          <w:i w:val="0"/>
          <w:strike w:val="0"/>
          <w:noProof w:val="0"/>
          <w:color w:val="000000"/>
          <w:position w:val="0"/>
          <w:sz w:val="20"/>
          <w:u w:val="none"/>
          <w:vertAlign w:val="baseline"/>
        </w:rPr>
        <w:t xml:space="preserve"> mandates that, upon entering a final order adverse to the applicant, the Court "issue or deny a certificate of appealability."</w:t>
      </w:r>
      <w:r>
        <w:rPr>
          <w:rFonts w:ascii="arial" w:eastAsia="arial" w:hAnsi="arial" w:cs="arial"/>
          <w:vertAlign w:val="superscript"/>
        </w:rPr>
        <w:footnoteReference w:customMarkFollows="1" w:id="46"/>
        <w:t xml:space="preserve">45</w:t>
      </w:r>
    </w:p>
    <w:p>
      <w:pPr>
        <w:keepNext w:val="0"/>
        <w:spacing w:before="200" w:after="0" w:line="260" w:lineRule="atLeast"/>
        <w:ind w:left="0" w:right="0" w:firstLine="0"/>
        <w:jc w:val="both"/>
      </w:pPr>
      <w:bookmarkStart w:id="145" w:name="Bookmark_para_38"/>
      <w:bookmarkEnd w:id="145"/>
      <w:bookmarkStart w:id="146" w:name="Bookmark_I6820TV12D6NC10020000400"/>
      <w:bookmarkEnd w:id="146"/>
      <w:bookmarkStart w:id="147" w:name="Bookmark_I6820TV12D6NC10040000400"/>
      <w:bookmarkEnd w:id="147"/>
      <w:bookmarkStart w:id="148" w:name="Bookmark_I6820TV12SF82C0010000400"/>
      <w:bookmarkEnd w:id="148"/>
      <w:r>
        <w:rPr>
          <w:rFonts w:ascii="arial" w:eastAsia="arial" w:hAnsi="arial" w:cs="arial"/>
          <w:b w:val="0"/>
          <w:i w:val="0"/>
          <w:strike w:val="0"/>
          <w:noProof w:val="0"/>
          <w:color w:val="000000"/>
          <w:position w:val="0"/>
          <w:sz w:val="20"/>
          <w:u w:val="none"/>
          <w:vertAlign w:val="baseline"/>
        </w:rPr>
        <w:t>In order to obtain a certificate of appealability, the petitioner must make a "substantial showing of the denial of a constitutional right."</w:t>
      </w:r>
      <w:r>
        <w:rPr>
          <w:rFonts w:ascii="arial" w:eastAsia="arial" w:hAnsi="arial" w:cs="arial"/>
          <w:vertAlign w:val="superscript"/>
        </w:rPr>
        <w:footnoteReference w:customMarkFollows="1" w:id="47"/>
        <w:t xml:space="preserve">46</w:t>
      </w:r>
      <w:r>
        <w:rPr>
          <w:rFonts w:ascii="arial" w:eastAsia="arial" w:hAnsi="arial" w:cs="arial"/>
          <w:b w:val="0"/>
          <w:i w:val="0"/>
          <w:strike w:val="0"/>
          <w:noProof w:val="0"/>
          <w:color w:val="000000"/>
          <w:position w:val="0"/>
          <w:sz w:val="20"/>
          <w:u w:val="none"/>
          <w:vertAlign w:val="baseline"/>
        </w:rPr>
        <w:t xml:space="preserve"> This determination requires an "overview of the claims in the habeas petition and a general</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assessment of their merits."</w:t>
      </w:r>
      <w:r>
        <w:rPr>
          <w:rFonts w:ascii="arial" w:eastAsia="arial" w:hAnsi="arial" w:cs="arial"/>
          <w:vertAlign w:val="superscript"/>
        </w:rPr>
        <w:footnoteReference w:customMarkFollows="1" w:id="48"/>
        <w:t xml:space="preserve">47</w:t>
      </w:r>
      <w:r>
        <w:rPr>
          <w:rFonts w:ascii="arial" w:eastAsia="arial" w:hAnsi="arial" w:cs="arial"/>
          <w:b w:val="0"/>
          <w:i w:val="0"/>
          <w:strike w:val="0"/>
          <w:noProof w:val="0"/>
          <w:color w:val="000000"/>
          <w:position w:val="0"/>
          <w:sz w:val="20"/>
          <w:u w:val="none"/>
          <w:vertAlign w:val="baseline"/>
        </w:rPr>
        <w:t xml:space="preserve"> "A petitioner satisfies this standard by demonstrating that jurists of reason could disagree with the district court's resolution of his constitutional claims or that jurists could conclude the issues presented are adequate to deserve encouragement to proceed further."</w:t>
      </w:r>
      <w:r>
        <w:rPr>
          <w:rFonts w:ascii="arial" w:eastAsia="arial" w:hAnsi="arial" w:cs="arial"/>
          <w:vertAlign w:val="superscript"/>
        </w:rPr>
        <w:footnoteReference w:customMarkFollows="1" w:id="49"/>
        <w:t xml:space="preserve">48</w:t>
      </w:r>
      <w:r>
        <w:rPr>
          <w:rFonts w:ascii="arial" w:eastAsia="arial" w:hAnsi="arial" w:cs="arial"/>
          <w:b w:val="0"/>
          <w:i w:val="0"/>
          <w:strike w:val="0"/>
          <w:noProof w:val="0"/>
          <w:color w:val="000000"/>
          <w:position w:val="0"/>
          <w:sz w:val="20"/>
          <w:u w:val="none"/>
          <w:vertAlign w:val="baseline"/>
        </w:rPr>
        <w:t xml:space="preserve"> Nevertheless, a district court may deny a certificate of appealability sua sponte without prior brief or argument.</w:t>
      </w:r>
      <w:r>
        <w:rPr>
          <w:rFonts w:ascii="arial" w:eastAsia="arial" w:hAnsi="arial" w:cs="arial"/>
          <w:vertAlign w:val="superscript"/>
        </w:rPr>
        <w:footnoteReference w:customMarkFollows="1" w:id="50"/>
        <w:t xml:space="preserve">49</w:t>
      </w:r>
    </w:p>
    <w:p>
      <w:pPr>
        <w:keepNext w:val="0"/>
        <w:spacing w:before="200" w:after="0" w:line="260" w:lineRule="atLeast"/>
        <w:ind w:left="0" w:right="0" w:firstLine="0"/>
        <w:jc w:val="both"/>
      </w:pPr>
      <w:bookmarkStart w:id="156" w:name="Bookmark_para_39"/>
      <w:bookmarkEnd w:id="156"/>
      <w:bookmarkStart w:id="157" w:name="Bookmark_I6820TV12SF82C0030000400"/>
      <w:bookmarkEnd w:id="157"/>
      <w:r>
        <w:rPr>
          <w:rFonts w:ascii="arial" w:eastAsia="arial" w:hAnsi="arial" w:cs="arial"/>
          <w:b w:val="0"/>
          <w:i w:val="0"/>
          <w:strike w:val="0"/>
          <w:noProof w:val="0"/>
          <w:color w:val="000000"/>
          <w:position w:val="0"/>
          <w:sz w:val="20"/>
          <w:u w:val="none"/>
          <w:vertAlign w:val="baseline"/>
        </w:rPr>
        <w:t>Here, the Court has concluded that all of Defendant's grounds for relief are meritless. It follows that reasonable jurists could not conclude otherwise.</w:t>
      </w:r>
      <w:r>
        <w:rPr>
          <w:rFonts w:ascii="arial" w:eastAsia="arial" w:hAnsi="arial" w:cs="arial"/>
          <w:vertAlign w:val="superscript"/>
        </w:rPr>
        <w:footnoteReference w:customMarkFollows="1" w:id="51"/>
        <w:t xml:space="preserve">50</w:t>
      </w:r>
      <w:r>
        <w:rPr>
          <w:rFonts w:ascii="arial" w:eastAsia="arial" w:hAnsi="arial" w:cs="arial"/>
          <w:b w:val="0"/>
          <w:i w:val="0"/>
          <w:strike w:val="0"/>
          <w:noProof w:val="0"/>
          <w:color w:val="000000"/>
          <w:position w:val="0"/>
          <w:sz w:val="20"/>
          <w:u w:val="none"/>
          <w:vertAlign w:val="baseline"/>
        </w:rPr>
        <w:t xml:space="preserve"> Accordingly, a certificate of appealability for Defendant shall be </w:t>
      </w:r>
      <w:r>
        <w:rPr>
          <w:rFonts w:ascii="arial" w:eastAsia="arial" w:hAnsi="arial" w:cs="arial"/>
          <w:b/>
          <w:i w:val="0"/>
          <w:strike w:val="0"/>
          <w:noProof w:val="0"/>
          <w:color w:val="000000"/>
          <w:position w:val="0"/>
          <w:sz w:val="20"/>
          <w:u w:val="none"/>
          <w:vertAlign w:val="baseline"/>
        </w:rPr>
        <w:t>DENIED</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IV. </w:t>
      </w:r>
      <w:r>
        <w:rPr>
          <w:rFonts w:ascii="arial" w:eastAsia="arial" w:hAnsi="arial" w:cs="arial"/>
          <w:b/>
          <w:i w:val="0"/>
          <w:smallCaps/>
          <w:strike w:val="0"/>
          <w:noProof w:val="0"/>
          <w:color w:val="000000"/>
          <w:position w:val="0"/>
          <w:sz w:val="20"/>
          <w:u w:val="none"/>
          <w:vertAlign w:val="baseline"/>
        </w:rPr>
        <w:t>Conclusion</w:t>
      </w:r>
    </w:p>
    <w:p>
      <w:pPr>
        <w:keepNext w:val="0"/>
        <w:spacing w:before="200" w:after="0" w:line="260" w:lineRule="atLeast"/>
        <w:ind w:left="0" w:right="0" w:firstLine="0"/>
        <w:jc w:val="both"/>
      </w:pPr>
      <w:bookmarkStart w:id="161" w:name="Bookmark_para_40"/>
      <w:bookmarkEnd w:id="161"/>
      <w:r>
        <w:rPr>
          <w:rFonts w:ascii="arial" w:eastAsia="arial" w:hAnsi="arial" w:cs="arial"/>
          <w:b w:val="0"/>
          <w:i w:val="0"/>
          <w:strike w:val="0"/>
          <w:noProof w:val="0"/>
          <w:color w:val="000000"/>
          <w:position w:val="0"/>
          <w:sz w:val="20"/>
          <w:u w:val="none"/>
          <w:vertAlign w:val="baseline"/>
        </w:rPr>
        <w:t xml:space="preserve">For the foregoing reasons, Defendant's Motion to Vacate shall be </w:t>
      </w:r>
      <w:r>
        <w:rPr>
          <w:rFonts w:ascii="arial" w:eastAsia="arial" w:hAnsi="arial" w:cs="arial"/>
          <w:b/>
          <w:i w:val="0"/>
          <w:strike w:val="0"/>
          <w:noProof w:val="0"/>
          <w:color w:val="000000"/>
          <w:position w:val="0"/>
          <w:sz w:val="20"/>
          <w:u w:val="none"/>
          <w:vertAlign w:val="baseline"/>
        </w:rPr>
        <w:t>DENIED</w:t>
      </w:r>
      <w:r>
        <w:rPr>
          <w:rFonts w:ascii="arial" w:eastAsia="arial" w:hAnsi="arial" w:cs="arial"/>
          <w:b w:val="0"/>
          <w:i w:val="0"/>
          <w:strike w:val="0"/>
          <w:noProof w:val="0"/>
          <w:color w:val="000000"/>
          <w:position w:val="0"/>
          <w:sz w:val="20"/>
          <w:u w:val="none"/>
          <w:vertAlign w:val="baseline"/>
        </w:rPr>
        <w:t>. (Doc. 74).</w:t>
      </w:r>
    </w:p>
    <w:p>
      <w:pPr>
        <w:keepNext w:val="0"/>
        <w:spacing w:before="200" w:after="0" w:line="260" w:lineRule="atLeast"/>
        <w:ind w:left="0" w:right="0" w:firstLine="0"/>
        <w:jc w:val="both"/>
      </w:pPr>
      <w:bookmarkStart w:id="162" w:name="Bookmark_para_41"/>
      <w:bookmarkEnd w:id="162"/>
      <w:r>
        <w:rPr>
          <w:rFonts w:ascii="arial" w:eastAsia="arial" w:hAnsi="arial" w:cs="arial"/>
          <w:b w:val="0"/>
          <w:i w:val="0"/>
          <w:strike w:val="0"/>
          <w:noProof w:val="0"/>
          <w:color w:val="000000"/>
          <w:position w:val="0"/>
          <w:sz w:val="20"/>
          <w:u w:val="none"/>
          <w:vertAlign w:val="baseline"/>
        </w:rPr>
        <w:t xml:space="preserve">Further, it is </w:t>
      </w:r>
      <w:r>
        <w:rPr>
          <w:rFonts w:ascii="arial" w:eastAsia="arial" w:hAnsi="arial" w:cs="arial"/>
          <w:b/>
          <w:i w:val="0"/>
          <w:strike w:val="0"/>
          <w:noProof w:val="0"/>
          <w:color w:val="000000"/>
          <w:position w:val="0"/>
          <w:sz w:val="20"/>
          <w:u w:val="none"/>
          <w:vertAlign w:val="baseline"/>
        </w:rPr>
        <w:t>ORDERED</w:t>
      </w:r>
      <w:r>
        <w:rPr>
          <w:rFonts w:ascii="arial" w:eastAsia="arial" w:hAnsi="arial" w:cs="arial"/>
          <w:b w:val="0"/>
          <w:i w:val="0"/>
          <w:strike w:val="0"/>
          <w:noProof w:val="0"/>
          <w:color w:val="000000"/>
          <w:position w:val="0"/>
          <w:sz w:val="20"/>
          <w:u w:val="none"/>
          <w:vertAlign w:val="baseline"/>
        </w:rPr>
        <w:t xml:space="preserve"> that the Motion to Vacate is </w:t>
      </w:r>
      <w:r>
        <w:rPr>
          <w:rFonts w:ascii="arial" w:eastAsia="arial" w:hAnsi="arial" w:cs="arial"/>
          <w:b/>
          <w:i w:val="0"/>
          <w:strike w:val="0"/>
          <w:noProof w:val="0"/>
          <w:color w:val="000000"/>
          <w:position w:val="0"/>
          <w:sz w:val="20"/>
          <w:u w:val="none"/>
          <w:vertAlign w:val="baseline"/>
        </w:rPr>
        <w:t>DISMISSED WITH PREJUDICE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63" w:name="Bookmark_para_42"/>
      <w:bookmarkEnd w:id="163"/>
      <w:r>
        <w:rPr>
          <w:rFonts w:ascii="arial" w:eastAsia="arial" w:hAnsi="arial" w:cs="arial"/>
          <w:b w:val="0"/>
          <w:i w:val="0"/>
          <w:strike w:val="0"/>
          <w:noProof w:val="0"/>
          <w:color w:val="000000"/>
          <w:position w:val="0"/>
          <w:sz w:val="20"/>
          <w:u w:val="none"/>
          <w:vertAlign w:val="baseline"/>
        </w:rPr>
        <w:t xml:space="preserve">Further, it is </w:t>
      </w:r>
      <w:r>
        <w:rPr>
          <w:rFonts w:ascii="arial" w:eastAsia="arial" w:hAnsi="arial" w:cs="arial"/>
          <w:b/>
          <w:i w:val="0"/>
          <w:strike w:val="0"/>
          <w:noProof w:val="0"/>
          <w:color w:val="000000"/>
          <w:position w:val="0"/>
          <w:sz w:val="20"/>
          <w:u w:val="none"/>
          <w:vertAlign w:val="baseline"/>
        </w:rPr>
        <w:t>ORDERED</w:t>
      </w:r>
      <w:r>
        <w:rPr>
          <w:rFonts w:ascii="arial" w:eastAsia="arial" w:hAnsi="arial" w:cs="arial"/>
          <w:b w:val="0"/>
          <w:i w:val="0"/>
          <w:strike w:val="0"/>
          <w:noProof w:val="0"/>
          <w:color w:val="000000"/>
          <w:position w:val="0"/>
          <w:sz w:val="20"/>
          <w:u w:val="none"/>
          <w:vertAlign w:val="baseline"/>
        </w:rPr>
        <w:t xml:space="preserve"> that a certificate of appealability will not issue in this case.</w:t>
      </w:r>
    </w:p>
    <w:p>
      <w:pPr>
        <w:keepNext w:val="0"/>
        <w:spacing w:before="200" w:after="0" w:line="260" w:lineRule="atLeast"/>
        <w:ind w:left="0" w:right="0" w:firstLine="0"/>
        <w:jc w:val="both"/>
      </w:pPr>
      <w:bookmarkStart w:id="164" w:name="Bookmark_para_43"/>
      <w:bookmarkEnd w:id="164"/>
      <w:r>
        <w:rPr>
          <w:rFonts w:ascii="arial" w:eastAsia="arial" w:hAnsi="arial" w:cs="arial"/>
          <w:b w:val="0"/>
          <w:i w:val="0"/>
          <w:strike w:val="0"/>
          <w:noProof w:val="0"/>
          <w:color w:val="000000"/>
          <w:position w:val="0"/>
          <w:sz w:val="20"/>
          <w:u w:val="none"/>
          <w:vertAlign w:val="baseline"/>
        </w:rPr>
        <w:t xml:space="preserve">It is so </w:t>
      </w:r>
      <w:r>
        <w:rPr>
          <w:rFonts w:ascii="arial" w:eastAsia="arial" w:hAnsi="arial" w:cs="arial"/>
          <w:b/>
          <w:i w:val="0"/>
          <w:strike w:val="0"/>
          <w:noProof w:val="0"/>
          <w:color w:val="000000"/>
          <w:position w:val="0"/>
          <w:sz w:val="20"/>
          <w:u w:val="none"/>
          <w:vertAlign w:val="baseline"/>
        </w:rPr>
        <w:t>ORDERED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65" w:name="Bookmark_para_44"/>
      <w:bookmarkEnd w:id="165"/>
      <w:r>
        <w:rPr>
          <w:rFonts w:ascii="arial" w:eastAsia="arial" w:hAnsi="arial" w:cs="arial"/>
          <w:b w:val="0"/>
          <w:i w:val="0"/>
          <w:strike w:val="0"/>
          <w:noProof w:val="0"/>
          <w:color w:val="000000"/>
          <w:position w:val="0"/>
          <w:sz w:val="20"/>
          <w:u w:val="none"/>
          <w:vertAlign w:val="baseline"/>
        </w:rPr>
        <w:t>SIGNED this 14th day of April, 2023.</w:t>
      </w:r>
    </w:p>
    <w:p>
      <w:pPr>
        <w:keepNext w:val="0"/>
        <w:spacing w:before="200" w:after="0" w:line="260" w:lineRule="atLeast"/>
        <w:ind w:left="0" w:right="0" w:firstLine="0"/>
        <w:jc w:val="both"/>
      </w:pPr>
      <w:bookmarkStart w:id="166" w:name="Bookmark_para_45"/>
      <w:bookmarkEnd w:id="166"/>
      <w:r>
        <w:rPr>
          <w:rFonts w:ascii="arial" w:eastAsia="arial" w:hAnsi="arial" w:cs="arial"/>
          <w:b w:val="0"/>
          <w:i w:val="0"/>
          <w:strike w:val="0"/>
          <w:noProof w:val="0"/>
          <w:color w:val="000000"/>
          <w:position w:val="0"/>
          <w:sz w:val="20"/>
          <w:u w:val="none"/>
          <w:vertAlign w:val="baseline"/>
        </w:rPr>
        <w:t>/s/ David Counts</w:t>
      </w:r>
    </w:p>
    <w:p>
      <w:pPr>
        <w:keepNext w:val="0"/>
        <w:spacing w:before="200" w:after="0" w:line="260" w:lineRule="atLeast"/>
        <w:ind w:left="0" w:right="0" w:firstLine="0"/>
        <w:jc w:val="both"/>
      </w:pPr>
      <w:bookmarkStart w:id="167" w:name="Bookmark_para_46"/>
      <w:bookmarkEnd w:id="167"/>
      <w:r>
        <w:rPr>
          <w:rFonts w:ascii="arial" w:eastAsia="arial" w:hAnsi="arial" w:cs="arial"/>
          <w:b w:val="0"/>
          <w:i w:val="0"/>
          <w:strike w:val="0"/>
          <w:noProof w:val="0"/>
          <w:color w:val="000000"/>
          <w:position w:val="0"/>
          <w:sz w:val="20"/>
          <w:u w:val="none"/>
          <w:vertAlign w:val="baseline"/>
        </w:rPr>
        <w:t>DAVID COUNTS</w:t>
      </w:r>
    </w:p>
    <w:p>
      <w:pPr>
        <w:keepNext w:val="0"/>
        <w:spacing w:before="200" w:after="0" w:line="260" w:lineRule="atLeast"/>
        <w:ind w:left="0" w:right="0" w:firstLine="0"/>
        <w:jc w:val="both"/>
      </w:pPr>
      <w:bookmarkStart w:id="168" w:name="Bookmark_para_47"/>
      <w:bookmarkEnd w:id="168"/>
      <w:r>
        <w:rPr>
          <w:rFonts w:ascii="arial" w:eastAsia="arial" w:hAnsi="arial" w:cs="arial"/>
          <w:b w:val="0"/>
          <w:i w:val="0"/>
          <w:strike w:val="0"/>
          <w:noProof w:val="0"/>
          <w:color w:val="000000"/>
          <w:position w:val="0"/>
          <w:sz w:val="20"/>
          <w:u w:val="none"/>
          <w:vertAlign w:val="baseline"/>
        </w:rPr>
        <w:t>UNITED STATES DISTRICT JUDGE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FINAL JUDGMENT</w:t>
      </w:r>
    </w:p>
    <w:p>
      <w:pPr>
        <w:keepNext w:val="0"/>
        <w:spacing w:before="240" w:after="0" w:line="260" w:lineRule="atLeast"/>
        <w:ind w:left="0" w:right="0" w:firstLine="0"/>
        <w:jc w:val="both"/>
      </w:pPr>
      <w:bookmarkStart w:id="169" w:name="Bookmark_para_48"/>
      <w:bookmarkEnd w:id="169"/>
      <w:r>
        <w:rPr>
          <w:rFonts w:ascii="arial" w:eastAsia="arial" w:hAnsi="arial" w:cs="arial"/>
          <w:b w:val="0"/>
          <w:i w:val="0"/>
          <w:strike w:val="0"/>
          <w:noProof w:val="0"/>
          <w:color w:val="000000"/>
          <w:position w:val="0"/>
          <w:sz w:val="20"/>
          <w:u w:val="none"/>
          <w:vertAlign w:val="baseline"/>
        </w:rPr>
        <w:t>On this day, the Court entered an Order denying Defendant Cornelia Shirey's ("Defendant") Motion to Vacate, Set Aside, or Correct Sentence</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(hereafter, "Motion to Vacate"), filed under </w:t>
      </w:r>
      <w:hyperlink r:id="rId10" w:history="1">
        <w:r>
          <w:rPr>
            <w:rFonts w:ascii="arial" w:eastAsia="arial" w:hAnsi="arial" w:cs="arial"/>
            <w:b w:val="0"/>
            <w:i/>
            <w:strike w:val="0"/>
            <w:noProof w:val="0"/>
            <w:color w:val="0077CC"/>
            <w:position w:val="0"/>
            <w:sz w:val="20"/>
            <w:u w:val="single"/>
            <w:vertAlign w:val="baseline"/>
          </w:rPr>
          <w:t>28 U.S.C. § 2255</w:t>
        </w:r>
      </w:hyperlink>
      <w:r>
        <w:rPr>
          <w:rFonts w:ascii="arial" w:eastAsia="arial" w:hAnsi="arial" w:cs="arial"/>
          <w:b w:val="0"/>
          <w:i w:val="0"/>
          <w:strike w:val="0"/>
          <w:noProof w:val="0"/>
          <w:color w:val="000000"/>
          <w:position w:val="0"/>
          <w:sz w:val="20"/>
          <w:u w:val="none"/>
          <w:vertAlign w:val="baseline"/>
        </w:rPr>
        <w:t xml:space="preserve">, for reasons clarified therein. The Court now enters its final judgment pursuant to </w:t>
      </w:r>
      <w:hyperlink r:id="rId14" w:history="1">
        <w:r>
          <w:rPr>
            <w:rFonts w:ascii="arial" w:eastAsia="arial" w:hAnsi="arial" w:cs="arial"/>
            <w:b w:val="0"/>
            <w:i/>
            <w:strike w:val="0"/>
            <w:noProof w:val="0"/>
            <w:color w:val="0077CC"/>
            <w:position w:val="0"/>
            <w:sz w:val="20"/>
            <w:u w:val="single"/>
            <w:vertAlign w:val="baseline"/>
          </w:rPr>
          <w:t>Federal Rule of Civil Procedure 58</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70" w:name="Bookmark_para_49"/>
      <w:bookmarkEnd w:id="170"/>
      <w:r>
        <w:rPr>
          <w:rFonts w:ascii="arial" w:eastAsia="arial" w:hAnsi="arial" w:cs="arial"/>
          <w:b w:val="0"/>
          <w:i w:val="0"/>
          <w:strike w:val="0"/>
          <w:noProof w:val="0"/>
          <w:color w:val="000000"/>
          <w:position w:val="0"/>
          <w:sz w:val="20"/>
          <w:u w:val="none"/>
          <w:vertAlign w:val="baseline"/>
        </w:rPr>
        <w:t xml:space="preserve">It is hereby </w:t>
      </w:r>
      <w:r>
        <w:rPr>
          <w:rFonts w:ascii="arial" w:eastAsia="arial" w:hAnsi="arial" w:cs="arial"/>
          <w:b/>
          <w:i w:val="0"/>
          <w:strike w:val="0"/>
          <w:noProof w:val="0"/>
          <w:color w:val="000000"/>
          <w:position w:val="0"/>
          <w:sz w:val="20"/>
          <w:u w:val="none"/>
          <w:vertAlign w:val="baseline"/>
        </w:rPr>
        <w:t>ORDERED</w:t>
      </w:r>
      <w:r>
        <w:rPr>
          <w:rFonts w:ascii="arial" w:eastAsia="arial" w:hAnsi="arial" w:cs="arial"/>
          <w:b w:val="0"/>
          <w:i w:val="0"/>
          <w:strike w:val="0"/>
          <w:noProof w:val="0"/>
          <w:color w:val="000000"/>
          <w:position w:val="0"/>
          <w:sz w:val="20"/>
          <w:u w:val="none"/>
          <w:vertAlign w:val="baseline"/>
        </w:rPr>
        <w:t xml:space="preserve"> that the Motion to Vacate is </w:t>
      </w:r>
      <w:r>
        <w:rPr>
          <w:rFonts w:ascii="arial" w:eastAsia="arial" w:hAnsi="arial" w:cs="arial"/>
          <w:b/>
          <w:i w:val="0"/>
          <w:strike w:val="0"/>
          <w:noProof w:val="0"/>
          <w:color w:val="000000"/>
          <w:position w:val="0"/>
          <w:sz w:val="20"/>
          <w:u w:val="none"/>
          <w:vertAlign w:val="baseline"/>
        </w:rPr>
        <w:t>DENIED AND DISMISSED</w:t>
      </w:r>
      <w:r>
        <w:rPr>
          <w:rFonts w:ascii="arial" w:eastAsia="arial" w:hAnsi="arial" w:cs="arial"/>
          <w:b w:val="0"/>
          <w:i w:val="0"/>
          <w:strike w:val="0"/>
          <w:noProof w:val="0"/>
          <w:color w:val="000000"/>
          <w:position w:val="0"/>
          <w:sz w:val="20"/>
          <w:u w:val="none"/>
          <w:vertAlign w:val="baseline"/>
        </w:rPr>
        <w:t>. (Doc. 74).</w:t>
      </w:r>
    </w:p>
    <w:p>
      <w:pPr>
        <w:keepNext w:val="0"/>
        <w:spacing w:before="200" w:after="0" w:line="260" w:lineRule="atLeast"/>
        <w:ind w:left="0" w:right="0" w:firstLine="0"/>
        <w:jc w:val="both"/>
      </w:pPr>
      <w:bookmarkStart w:id="171" w:name="Bookmark_para_50"/>
      <w:bookmarkEnd w:id="171"/>
      <w:r>
        <w:rPr>
          <w:rFonts w:ascii="arial" w:eastAsia="arial" w:hAnsi="arial" w:cs="arial"/>
          <w:b w:val="0"/>
          <w:i w:val="0"/>
          <w:strike w:val="0"/>
          <w:noProof w:val="0"/>
          <w:color w:val="000000"/>
          <w:position w:val="0"/>
          <w:sz w:val="20"/>
          <w:u w:val="none"/>
          <w:vertAlign w:val="baseline"/>
        </w:rPr>
        <w:t xml:space="preserve">Further, it is </w:t>
      </w:r>
      <w:r>
        <w:rPr>
          <w:rFonts w:ascii="arial" w:eastAsia="arial" w:hAnsi="arial" w:cs="arial"/>
          <w:b/>
          <w:i w:val="0"/>
          <w:strike w:val="0"/>
          <w:noProof w:val="0"/>
          <w:color w:val="000000"/>
          <w:position w:val="0"/>
          <w:sz w:val="20"/>
          <w:u w:val="none"/>
          <w:vertAlign w:val="baseline"/>
        </w:rPr>
        <w:t>ORDERED</w:t>
      </w:r>
      <w:r>
        <w:rPr>
          <w:rFonts w:ascii="arial" w:eastAsia="arial" w:hAnsi="arial" w:cs="arial"/>
          <w:b w:val="0"/>
          <w:i w:val="0"/>
          <w:strike w:val="0"/>
          <w:noProof w:val="0"/>
          <w:color w:val="000000"/>
          <w:position w:val="0"/>
          <w:sz w:val="20"/>
          <w:u w:val="none"/>
          <w:vertAlign w:val="baseline"/>
        </w:rPr>
        <w:t xml:space="preserve"> that the Motion to Vacate is </w:t>
      </w:r>
      <w:r>
        <w:rPr>
          <w:rFonts w:ascii="arial" w:eastAsia="arial" w:hAnsi="arial" w:cs="arial"/>
          <w:b/>
          <w:i w:val="0"/>
          <w:strike w:val="0"/>
          <w:noProof w:val="0"/>
          <w:color w:val="000000"/>
          <w:position w:val="0"/>
          <w:sz w:val="20"/>
          <w:u w:val="none"/>
          <w:vertAlign w:val="baseline"/>
        </w:rPr>
        <w:t>DISMISSED WITH PREJUDICE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72" w:name="Bookmark_para_51"/>
      <w:bookmarkEnd w:id="172"/>
      <w:r>
        <w:rPr>
          <w:rFonts w:ascii="arial" w:eastAsia="arial" w:hAnsi="arial" w:cs="arial"/>
          <w:b w:val="0"/>
          <w:i w:val="0"/>
          <w:strike w:val="0"/>
          <w:noProof w:val="0"/>
          <w:color w:val="000000"/>
          <w:position w:val="0"/>
          <w:sz w:val="20"/>
          <w:u w:val="none"/>
          <w:vertAlign w:val="baseline"/>
        </w:rPr>
        <w:t xml:space="preserve">Finally, it is </w:t>
      </w:r>
      <w:r>
        <w:rPr>
          <w:rFonts w:ascii="arial" w:eastAsia="arial" w:hAnsi="arial" w:cs="arial"/>
          <w:b/>
          <w:i w:val="0"/>
          <w:strike w:val="0"/>
          <w:noProof w:val="0"/>
          <w:color w:val="000000"/>
          <w:position w:val="0"/>
          <w:sz w:val="20"/>
          <w:u w:val="none"/>
          <w:vertAlign w:val="baseline"/>
        </w:rPr>
        <w:t>ORDERED</w:t>
      </w:r>
      <w:r>
        <w:rPr>
          <w:rFonts w:ascii="arial" w:eastAsia="arial" w:hAnsi="arial" w:cs="arial"/>
          <w:b w:val="0"/>
          <w:i w:val="0"/>
          <w:strike w:val="0"/>
          <w:noProof w:val="0"/>
          <w:color w:val="000000"/>
          <w:position w:val="0"/>
          <w:sz w:val="20"/>
          <w:u w:val="none"/>
          <w:vertAlign w:val="baseline"/>
        </w:rPr>
        <w:t xml:space="preserve"> that all other pending motions, if any, are </w:t>
      </w:r>
      <w:r>
        <w:rPr>
          <w:rFonts w:ascii="arial" w:eastAsia="arial" w:hAnsi="arial" w:cs="arial"/>
          <w:b/>
          <w:i w:val="0"/>
          <w:strike w:val="0"/>
          <w:noProof w:val="0"/>
          <w:color w:val="000000"/>
          <w:position w:val="0"/>
          <w:sz w:val="20"/>
          <w:u w:val="none"/>
          <w:vertAlign w:val="baseline"/>
        </w:rPr>
        <w:t>DENIED AS MOOT AND A CERTIFICATE OF APPEALABILITY WILL NOT ISSUE IN THIS CASE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73" w:name="Bookmark_para_52"/>
      <w:bookmarkEnd w:id="173"/>
      <w:r>
        <w:rPr>
          <w:rFonts w:ascii="arial" w:eastAsia="arial" w:hAnsi="arial" w:cs="arial"/>
          <w:b w:val="0"/>
          <w:i w:val="0"/>
          <w:strike w:val="0"/>
          <w:noProof w:val="0"/>
          <w:color w:val="000000"/>
          <w:position w:val="0"/>
          <w:sz w:val="20"/>
          <w:u w:val="none"/>
          <w:vertAlign w:val="baseline"/>
        </w:rPr>
        <w:t xml:space="preserve">It is so </w:t>
      </w:r>
      <w:r>
        <w:rPr>
          <w:rFonts w:ascii="arial" w:eastAsia="arial" w:hAnsi="arial" w:cs="arial"/>
          <w:b/>
          <w:i w:val="0"/>
          <w:strike w:val="0"/>
          <w:noProof w:val="0"/>
          <w:color w:val="000000"/>
          <w:position w:val="0"/>
          <w:sz w:val="20"/>
          <w:u w:val="none"/>
          <w:vertAlign w:val="baseline"/>
        </w:rPr>
        <w:t>ORDERED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74" w:name="Bookmark_para_53"/>
      <w:bookmarkEnd w:id="174"/>
      <w:r>
        <w:rPr>
          <w:rFonts w:ascii="arial" w:eastAsia="arial" w:hAnsi="arial" w:cs="arial"/>
          <w:b w:val="0"/>
          <w:i w:val="0"/>
          <w:strike w:val="0"/>
          <w:noProof w:val="0"/>
          <w:color w:val="000000"/>
          <w:position w:val="0"/>
          <w:sz w:val="20"/>
          <w:u w:val="none"/>
          <w:vertAlign w:val="baseline"/>
        </w:rPr>
        <w:t>SIGNED this 14th day of April, 2023.</w:t>
      </w:r>
    </w:p>
    <w:p>
      <w:pPr>
        <w:keepNext w:val="0"/>
        <w:spacing w:before="200" w:after="0" w:line="260" w:lineRule="atLeast"/>
        <w:ind w:left="0" w:right="0" w:firstLine="0"/>
        <w:jc w:val="both"/>
      </w:pPr>
      <w:bookmarkStart w:id="175" w:name="Bookmark_para_54"/>
      <w:bookmarkEnd w:id="175"/>
      <w:r>
        <w:rPr>
          <w:rFonts w:ascii="arial" w:eastAsia="arial" w:hAnsi="arial" w:cs="arial"/>
          <w:b w:val="0"/>
          <w:i w:val="0"/>
          <w:strike w:val="0"/>
          <w:noProof w:val="0"/>
          <w:color w:val="000000"/>
          <w:position w:val="0"/>
          <w:sz w:val="20"/>
          <w:u w:val="none"/>
          <w:vertAlign w:val="baseline"/>
        </w:rPr>
        <w:t>/s/ David Counts</w:t>
      </w:r>
    </w:p>
    <w:p>
      <w:pPr>
        <w:keepNext w:val="0"/>
        <w:spacing w:before="200" w:after="0" w:line="260" w:lineRule="atLeast"/>
        <w:ind w:left="0" w:right="0" w:firstLine="0"/>
        <w:jc w:val="both"/>
      </w:pPr>
      <w:bookmarkStart w:id="176" w:name="Bookmark_para_55"/>
      <w:bookmarkEnd w:id="176"/>
      <w:r>
        <w:rPr>
          <w:rFonts w:ascii="arial" w:eastAsia="arial" w:hAnsi="arial" w:cs="arial"/>
          <w:b w:val="0"/>
          <w:i w:val="0"/>
          <w:strike w:val="0"/>
          <w:noProof w:val="0"/>
          <w:color w:val="000000"/>
          <w:position w:val="0"/>
          <w:sz w:val="20"/>
          <w:u w:val="none"/>
          <w:vertAlign w:val="baseline"/>
        </w:rPr>
        <w:t>DAVID COUNTS</w:t>
      </w:r>
    </w:p>
    <w:p>
      <w:pPr>
        <w:keepNext w:val="0"/>
        <w:spacing w:before="200" w:after="0" w:line="260" w:lineRule="atLeast"/>
        <w:ind w:left="0" w:right="0" w:firstLine="0"/>
        <w:jc w:val="both"/>
      </w:pPr>
      <w:bookmarkStart w:id="177" w:name="Bookmark_para_56"/>
      <w:bookmarkEnd w:id="177"/>
      <w:r>
        <w:rPr>
          <w:rFonts w:ascii="arial" w:eastAsia="arial" w:hAnsi="arial" w:cs="arial"/>
          <w:b w:val="0"/>
          <w:i w:val="0"/>
          <w:strike w:val="0"/>
          <w:noProof w:val="0"/>
          <w:color w:val="000000"/>
          <w:position w:val="0"/>
          <w:sz w:val="20"/>
          <w:u w:val="none"/>
          <w:vertAlign w:val="baseline"/>
        </w:rPr>
        <w:t>UNITED STATES DISTRICT JUDGE</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8" w:name="Bookmark_fnpara_1"/>
      <w:bookmarkEnd w:id="8"/>
      <w:r>
        <w:rPr>
          <w:rFonts w:ascii="arial" w:eastAsia="arial" w:hAnsi="arial" w:cs="arial"/>
          <w:b w:val="0"/>
          <w:i w:val="0"/>
          <w:strike w:val="0"/>
          <w:noProof w:val="0"/>
          <w:color w:val="000000"/>
          <w:position w:val="0"/>
          <w:sz w:val="18"/>
          <w:u w:val="none"/>
          <w:vertAlign w:val="baseline"/>
        </w:rPr>
        <w:t>(Doc. 74).</w:t>
      </w:r>
    </w:p>
  </w:footnote>
  <w:footnote w:id="3">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10" w:name="Bookmark_fnpara_2"/>
      <w:bookmarkEnd w:id="10"/>
      <w:r>
        <w:rPr>
          <w:rFonts w:ascii="arial" w:eastAsia="arial" w:hAnsi="arial" w:cs="arial"/>
          <w:b w:val="0"/>
          <w:i w:val="0"/>
          <w:strike w:val="0"/>
          <w:noProof w:val="0"/>
          <w:color w:val="000000"/>
          <w:position w:val="0"/>
          <w:sz w:val="18"/>
          <w:u w:val="none"/>
          <w:vertAlign w:val="baseline"/>
        </w:rPr>
        <w:t>(Docs. 54, 56).</w:t>
      </w:r>
    </w:p>
  </w:footnote>
  <w:footnote w:id="4">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11" w:name="Bookmark_fnpara_3"/>
      <w:bookmarkEnd w:id="11"/>
      <w:r>
        <w:rPr>
          <w:rFonts w:ascii="arial" w:eastAsia="arial" w:hAnsi="arial" w:cs="arial"/>
          <w:b w:val="0"/>
          <w:i w:val="0"/>
          <w:strike w:val="0"/>
          <w:noProof w:val="0"/>
          <w:color w:val="000000"/>
          <w:position w:val="0"/>
          <w:sz w:val="18"/>
          <w:u w:val="none"/>
          <w:vertAlign w:val="baseline"/>
        </w:rPr>
        <w:t xml:space="preserve">(Doc. 70). According to the Bureau of Prisons website, Defendant was released from federal custody for these counts on December 23, 2022. https://www.bop.gov/inmateloc/ (select "Find By Name"; search for "Cornelia Shirey"; click "Search"). The Government asserts that, with Defendant no longer being a federal inmate, her petition is moot. (Doc. 80 at 3). Defendant, serving a term of supervised release, has since been apprehended in federal custody for other charges, mooting and ironizing the Government's argument. </w:t>
      </w:r>
      <w:bookmarkStart w:id="12" w:name="Bookmark_I6820TTV2SF81C0020000400"/>
      <w:bookmarkEnd w:id="12"/>
      <w:r>
        <w:rPr>
          <w:rFonts w:ascii="arial" w:eastAsia="arial" w:hAnsi="arial" w:cs="arial"/>
          <w:b w:val="0"/>
          <w:i w:val="0"/>
          <w:strike w:val="0"/>
          <w:noProof w:val="0"/>
          <w:color w:val="000000"/>
          <w:position w:val="0"/>
          <w:sz w:val="18"/>
          <w:u w:val="none"/>
          <w:vertAlign w:val="baseline"/>
        </w:rPr>
        <w:t xml:space="preserve">(Doc. 85). Even if she had not and were still on supervised release, Defendant's </w:t>
      </w:r>
      <w:hyperlink r:id="rId1" w:history="1">
        <w:r>
          <w:rPr>
            <w:rFonts w:ascii="arial" w:eastAsia="arial" w:hAnsi="arial" w:cs="arial"/>
            <w:b w:val="0"/>
            <w:i/>
            <w:strike w:val="0"/>
            <w:noProof w:val="0"/>
            <w:color w:val="0077CC"/>
            <w:position w:val="0"/>
            <w:sz w:val="18"/>
            <w:u w:val="single"/>
            <w:vertAlign w:val="baseline"/>
          </w:rPr>
          <w:t>§ 2255</w:t>
        </w:r>
      </w:hyperlink>
      <w:r>
        <w:rPr>
          <w:rFonts w:ascii="arial" w:eastAsia="arial" w:hAnsi="arial" w:cs="arial"/>
          <w:b w:val="0"/>
          <w:i w:val="0"/>
          <w:strike w:val="0"/>
          <w:noProof w:val="0"/>
          <w:color w:val="000000"/>
          <w:position w:val="0"/>
          <w:sz w:val="18"/>
          <w:u w:val="none"/>
          <w:vertAlign w:val="baseline"/>
        </w:rPr>
        <w:t xml:space="preserve"> motion would not be moot on this basis alone. </w:t>
      </w:r>
      <w:bookmarkStart w:id="13" w:name="Bookmark_I6820TTV2SF81C0010000400"/>
      <w:bookmarkEnd w:id="13"/>
      <w:hyperlink r:id="rId2" w:history="1">
        <w:r>
          <w:rPr>
            <w:rFonts w:ascii="arial" w:eastAsia="arial" w:hAnsi="arial" w:cs="arial"/>
            <w:b w:val="0"/>
            <w:i/>
            <w:strike w:val="0"/>
            <w:noProof w:val="0"/>
            <w:color w:val="0077CC"/>
            <w:position w:val="0"/>
            <w:sz w:val="18"/>
            <w:u w:val="single"/>
            <w:vertAlign w:val="baseline"/>
          </w:rPr>
          <w:t>United States v. Sosebee</w:t>
        </w:r>
      </w:hyperlink>
      <w:hyperlink r:id="rId2" w:history="1">
        <w:r>
          <w:rPr>
            <w:rFonts w:ascii="arial" w:eastAsia="arial" w:hAnsi="arial" w:cs="arial"/>
            <w:b w:val="0"/>
            <w:i/>
            <w:strike w:val="0"/>
            <w:noProof w:val="0"/>
            <w:color w:val="0077CC"/>
            <w:position w:val="0"/>
            <w:sz w:val="18"/>
            <w:u w:val="single"/>
            <w:vertAlign w:val="baseline"/>
          </w:rPr>
          <w:t>, 59 F.4th 151, 155 (5th Cir. 2023)</w:t>
        </w:r>
      </w:hyperlink>
      <w:r>
        <w:rPr>
          <w:rFonts w:ascii="arial" w:eastAsia="arial" w:hAnsi="arial" w:cs="arial"/>
          <w:b w:val="0"/>
          <w:i w:val="0"/>
          <w:strike w:val="0"/>
          <w:noProof w:val="0"/>
          <w:color w:val="000000"/>
          <w:position w:val="0"/>
          <w:sz w:val="18"/>
          <w:u w:val="none"/>
          <w:vertAlign w:val="baseline"/>
        </w:rPr>
        <w:t xml:space="preserve"> (finding motion moot only because defendant had "no remaining supervised release term that may be modified or terminated"); (</w:t>
      </w:r>
      <w:r>
        <w:rPr>
          <w:rFonts w:ascii="arial" w:eastAsia="arial" w:hAnsi="arial" w:cs="arial"/>
          <w:b w:val="0"/>
          <w:i/>
          <w:strike w:val="0"/>
          <w:noProof w:val="0"/>
          <w:color w:val="000000"/>
          <w:position w:val="0"/>
          <w:sz w:val="18"/>
          <w:u w:val="none"/>
          <w:vertAlign w:val="baseline"/>
        </w:rPr>
        <w:t>see also</w:t>
      </w:r>
      <w:r>
        <w:rPr>
          <w:rFonts w:ascii="arial" w:eastAsia="arial" w:hAnsi="arial" w:cs="arial"/>
          <w:b w:val="0"/>
          <w:i w:val="0"/>
          <w:strike w:val="0"/>
          <w:noProof w:val="0"/>
          <w:color w:val="000000"/>
          <w:position w:val="0"/>
          <w:sz w:val="18"/>
          <w:u w:val="none"/>
          <w:vertAlign w:val="baseline"/>
        </w:rPr>
        <w:t xml:space="preserve"> Doc. 83).</w:t>
      </w:r>
    </w:p>
  </w:footnote>
  <w:footnote w:id="5">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15" w:name="Bookmark_fnpara_4"/>
      <w:bookmarkEnd w:id="15"/>
      <w:r>
        <w:rPr>
          <w:rFonts w:ascii="arial" w:eastAsia="arial" w:hAnsi="arial" w:cs="arial"/>
          <w:b w:val="0"/>
          <w:i w:val="0"/>
          <w:strike w:val="0"/>
          <w:noProof w:val="0"/>
          <w:color w:val="000000"/>
          <w:position w:val="0"/>
          <w:sz w:val="18"/>
          <w:u w:val="none"/>
          <w:vertAlign w:val="baseline"/>
        </w:rPr>
        <w:t>(Docs. 74, 80).</w:t>
      </w:r>
    </w:p>
  </w:footnote>
  <w:footnote w:id="6">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5 </w:t>
      </w:r>
      <w:bookmarkStart w:id="20" w:name="Bookmark_fnpara_5"/>
      <w:bookmarkEnd w:id="20"/>
      <w:hyperlink r:id="rId1" w:history="1">
        <w:r>
          <w:rPr>
            <w:rFonts w:ascii="arial" w:eastAsia="arial" w:hAnsi="arial" w:cs="arial"/>
            <w:b w:val="0"/>
            <w:i/>
            <w:strike w:val="0"/>
            <w:noProof w:val="0"/>
            <w:color w:val="0077CC"/>
            <w:position w:val="0"/>
            <w:sz w:val="18"/>
            <w:u w:val="single"/>
            <w:vertAlign w:val="baseline"/>
          </w:rPr>
          <w:t>28 U.S.C. § 2255(a)</w:t>
        </w:r>
      </w:hyperlink>
      <w:r>
        <w:rPr>
          <w:rFonts w:ascii="arial" w:eastAsia="arial" w:hAnsi="arial" w:cs="arial"/>
          <w:b w:val="0"/>
          <w:i w:val="0"/>
          <w:strike w:val="0"/>
          <w:noProof w:val="0"/>
          <w:color w:val="000000"/>
          <w:position w:val="0"/>
          <w:sz w:val="18"/>
          <w:u w:val="none"/>
          <w:vertAlign w:val="baseline"/>
        </w:rPr>
        <w:t>.</w:t>
      </w:r>
    </w:p>
  </w:footnote>
  <w:footnote w:id="7">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6 </w:t>
      </w:r>
      <w:bookmarkStart w:id="21" w:name="Bookmark_fnpara_6"/>
      <w:bookmarkEnd w:id="21"/>
      <w:bookmarkStart w:id="22" w:name="Bookmark_I6820TTV2SF81C0030000400"/>
      <w:bookmarkEnd w:id="22"/>
      <w:hyperlink r:id="rId3" w:history="1">
        <w:r>
          <w:rPr>
            <w:rFonts w:ascii="arial" w:eastAsia="arial" w:hAnsi="arial" w:cs="arial"/>
            <w:b w:val="0"/>
            <w:i/>
            <w:strike w:val="0"/>
            <w:noProof w:val="0"/>
            <w:color w:val="0077CC"/>
            <w:position w:val="0"/>
            <w:sz w:val="18"/>
            <w:u w:val="single"/>
            <w:vertAlign w:val="baseline"/>
          </w:rPr>
          <w:t>United States v. Gaudet</w:t>
        </w:r>
      </w:hyperlink>
      <w:hyperlink r:id="rId3" w:history="1">
        <w:r>
          <w:rPr>
            <w:rFonts w:ascii="arial" w:eastAsia="arial" w:hAnsi="arial" w:cs="arial"/>
            <w:b w:val="0"/>
            <w:i/>
            <w:strike w:val="0"/>
            <w:noProof w:val="0"/>
            <w:color w:val="0077CC"/>
            <w:position w:val="0"/>
            <w:sz w:val="18"/>
            <w:u w:val="single"/>
            <w:vertAlign w:val="baseline"/>
          </w:rPr>
          <w:t>, 81 F.3d 585, 589 (5th Cir. 1996)</w:t>
        </w:r>
      </w:hyperlink>
      <w:r>
        <w:rPr>
          <w:rFonts w:ascii="arial" w:eastAsia="arial" w:hAnsi="arial" w:cs="arial"/>
          <w:b w:val="0"/>
          <w:i w:val="0"/>
          <w:strike w:val="0"/>
          <w:noProof w:val="0"/>
          <w:color w:val="000000"/>
          <w:position w:val="0"/>
          <w:sz w:val="18"/>
          <w:u w:val="none"/>
          <w:vertAlign w:val="baseline"/>
        </w:rPr>
        <w:t>.</w:t>
      </w:r>
    </w:p>
  </w:footnote>
  <w:footnote w:id="8">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7 </w:t>
      </w:r>
      <w:bookmarkStart w:id="23" w:name="Bookmark_fnpara_7"/>
      <w:bookmarkEnd w:id="23"/>
      <w:bookmarkStart w:id="24" w:name="Bookmark_I6820TTV2SF81C0050000400"/>
      <w:bookmarkEnd w:id="24"/>
      <w:hyperlink r:id="rId4" w:history="1">
        <w:r>
          <w:rPr>
            <w:rFonts w:ascii="arial" w:eastAsia="arial" w:hAnsi="arial" w:cs="arial"/>
            <w:b w:val="0"/>
            <w:i/>
            <w:strike w:val="0"/>
            <w:noProof w:val="0"/>
            <w:color w:val="0077CC"/>
            <w:position w:val="0"/>
            <w:sz w:val="18"/>
            <w:u w:val="single"/>
            <w:vertAlign w:val="baseline"/>
          </w:rPr>
          <w:t>United States v. Faubion</w:t>
        </w:r>
      </w:hyperlink>
      <w:hyperlink r:id="rId4" w:history="1">
        <w:r>
          <w:rPr>
            <w:rFonts w:ascii="arial" w:eastAsia="arial" w:hAnsi="arial" w:cs="arial"/>
            <w:b w:val="0"/>
            <w:i/>
            <w:strike w:val="0"/>
            <w:noProof w:val="0"/>
            <w:color w:val="0077CC"/>
            <w:position w:val="0"/>
            <w:sz w:val="18"/>
            <w:u w:val="single"/>
            <w:vertAlign w:val="baseline"/>
          </w:rPr>
          <w:t>, 19 F.3d 226, 232 (5th Cir. 1994)</w:t>
        </w:r>
      </w:hyperlink>
      <w:r>
        <w:rPr>
          <w:rFonts w:ascii="arial" w:eastAsia="arial" w:hAnsi="arial" w:cs="arial"/>
          <w:b w:val="0"/>
          <w:i w:val="0"/>
          <w:strike w:val="0"/>
          <w:noProof w:val="0"/>
          <w:color w:val="000000"/>
          <w:position w:val="0"/>
          <w:sz w:val="18"/>
          <w:u w:val="none"/>
          <w:vertAlign w:val="baseline"/>
        </w:rPr>
        <w:t xml:space="preserve"> (citing </w:t>
      </w:r>
      <w:hyperlink r:id="rId1" w:history="1">
        <w:r>
          <w:rPr>
            <w:rFonts w:ascii="arial" w:eastAsia="arial" w:hAnsi="arial" w:cs="arial"/>
            <w:b w:val="0"/>
            <w:i/>
            <w:strike w:val="0"/>
            <w:noProof w:val="0"/>
            <w:color w:val="0077CC"/>
            <w:position w:val="0"/>
            <w:sz w:val="18"/>
            <w:u w:val="single"/>
            <w:vertAlign w:val="baseline"/>
          </w:rPr>
          <w:t>28 U.S.C. § 2255(a)</w:t>
        </w:r>
      </w:hyperlink>
      <w:r>
        <w:rPr>
          <w:rFonts w:ascii="arial" w:eastAsia="arial" w:hAnsi="arial" w:cs="arial"/>
          <w:b w:val="0"/>
          <w:i w:val="0"/>
          <w:strike w:val="0"/>
          <w:noProof w:val="0"/>
          <w:color w:val="000000"/>
          <w:position w:val="0"/>
          <w:sz w:val="18"/>
          <w:u w:val="none"/>
          <w:vertAlign w:val="baseline"/>
        </w:rPr>
        <w:t>).</w:t>
      </w:r>
    </w:p>
  </w:footnote>
  <w:footnote w:id="9">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8 </w:t>
      </w:r>
      <w:bookmarkStart w:id="25" w:name="Bookmark_fnpara_8"/>
      <w:bookmarkEnd w:id="25"/>
      <w:bookmarkStart w:id="26" w:name="Bookmark_I6820TTV2SF81F0020000400"/>
      <w:bookmarkEnd w:id="26"/>
      <w:hyperlink r:id="rId5" w:history="1">
        <w:r>
          <w:rPr>
            <w:rFonts w:ascii="arial" w:eastAsia="arial" w:hAnsi="arial" w:cs="arial"/>
            <w:b w:val="0"/>
            <w:i/>
            <w:strike w:val="0"/>
            <w:noProof w:val="0"/>
            <w:color w:val="0077CC"/>
            <w:position w:val="0"/>
            <w:sz w:val="18"/>
            <w:u w:val="single"/>
            <w:vertAlign w:val="baseline"/>
          </w:rPr>
          <w:t>Pillault v. United States</w:t>
        </w:r>
      </w:hyperlink>
      <w:hyperlink r:id="rId5" w:history="1">
        <w:r>
          <w:rPr>
            <w:rFonts w:ascii="arial" w:eastAsia="arial" w:hAnsi="arial" w:cs="arial"/>
            <w:b w:val="0"/>
            <w:i/>
            <w:strike w:val="0"/>
            <w:noProof w:val="0"/>
            <w:color w:val="0077CC"/>
            <w:position w:val="0"/>
            <w:sz w:val="18"/>
            <w:u w:val="single"/>
            <w:vertAlign w:val="baseline"/>
          </w:rPr>
          <w:t>, 371 F. Supp. 3d 325, 330 (N.D. Miss. 2019)</w:t>
        </w:r>
      </w:hyperlink>
      <w:r>
        <w:rPr>
          <w:rFonts w:ascii="arial" w:eastAsia="arial" w:hAnsi="arial" w:cs="arial"/>
          <w:b w:val="0"/>
          <w:i w:val="0"/>
          <w:strike w:val="0"/>
          <w:noProof w:val="0"/>
          <w:color w:val="000000"/>
          <w:position w:val="0"/>
          <w:sz w:val="18"/>
          <w:u w:val="none"/>
          <w:vertAlign w:val="baseline"/>
        </w:rPr>
        <w:t xml:space="preserve"> (quoting </w:t>
      </w:r>
      <w:bookmarkStart w:id="27" w:name="Bookmark_I6820TTV2SF81F0040000400"/>
      <w:bookmarkEnd w:id="27"/>
      <w:hyperlink r:id="rId6" w:history="1">
        <w:r>
          <w:rPr>
            <w:rFonts w:ascii="arial" w:eastAsia="arial" w:hAnsi="arial" w:cs="arial"/>
            <w:b w:val="0"/>
            <w:i/>
            <w:strike w:val="0"/>
            <w:noProof w:val="0"/>
            <w:color w:val="0077CC"/>
            <w:position w:val="0"/>
            <w:sz w:val="18"/>
            <w:u w:val="single"/>
            <w:vertAlign w:val="baseline"/>
          </w:rPr>
          <w:t>United States v. Addonizio</w:t>
        </w:r>
      </w:hyperlink>
      <w:hyperlink r:id="rId6" w:history="1">
        <w:r>
          <w:rPr>
            <w:rFonts w:ascii="arial" w:eastAsia="arial" w:hAnsi="arial" w:cs="arial"/>
            <w:b w:val="0"/>
            <w:i/>
            <w:strike w:val="0"/>
            <w:noProof w:val="0"/>
            <w:color w:val="0077CC"/>
            <w:position w:val="0"/>
            <w:sz w:val="18"/>
            <w:u w:val="single"/>
            <w:vertAlign w:val="baseline"/>
          </w:rPr>
          <w:t>, 442 U.S. 178, 185, 99 S. Ct. 2235, 60 L. Ed. 2d 805 (1979)</w:t>
        </w:r>
      </w:hyperlink>
      <w:r>
        <w:rPr>
          <w:rFonts w:ascii="arial" w:eastAsia="arial" w:hAnsi="arial" w:cs="arial"/>
          <w:b w:val="0"/>
          <w:i w:val="0"/>
          <w:strike w:val="0"/>
          <w:noProof w:val="0"/>
          <w:color w:val="000000"/>
          <w:position w:val="0"/>
          <w:sz w:val="18"/>
          <w:u w:val="none"/>
          <w:vertAlign w:val="baseline"/>
        </w:rPr>
        <w:t>).</w:t>
      </w:r>
    </w:p>
  </w:footnote>
  <w:footnote w:id="10">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9 </w:t>
      </w:r>
      <w:bookmarkStart w:id="29" w:name="Bookmark_fnpara_9"/>
      <w:bookmarkEnd w:id="29"/>
      <w:r>
        <w:rPr>
          <w:rFonts w:ascii="arial" w:eastAsia="arial" w:hAnsi="arial" w:cs="arial"/>
          <w:b w:val="0"/>
          <w:i w:val="0"/>
          <w:strike w:val="0"/>
          <w:noProof w:val="0"/>
          <w:color w:val="000000"/>
          <w:position w:val="0"/>
          <w:sz w:val="18"/>
          <w:u w:val="none"/>
          <w:vertAlign w:val="baseline"/>
        </w:rPr>
        <w:t>The Government contends that most of Defendant's claims were not raised on appeal and are "not of a constitutional magnitude." (Doc. 80 at 6, 7). The Court notes that Defendant did not appeal her sentence or conviction. For posterity, however, the Court will address each of Defendant's grounds on their merits.</w:t>
      </w:r>
    </w:p>
  </w:footnote>
  <w:footnote w:id="11">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10 </w:t>
      </w:r>
      <w:bookmarkStart w:id="34" w:name="Bookmark_fnpara_10"/>
      <w:bookmarkEnd w:id="34"/>
      <w:r>
        <w:rPr>
          <w:rFonts w:ascii="arial" w:eastAsia="arial" w:hAnsi="arial" w:cs="arial"/>
          <w:b w:val="0"/>
          <w:i w:val="0"/>
          <w:strike w:val="0"/>
          <w:noProof w:val="0"/>
          <w:color w:val="000000"/>
          <w:position w:val="0"/>
          <w:sz w:val="18"/>
          <w:u w:val="none"/>
          <w:vertAlign w:val="baseline"/>
        </w:rPr>
        <w:t>(Doc. 74 at 5, 6, 8, 9, 10).</w:t>
      </w:r>
    </w:p>
  </w:footnote>
  <w:footnote w:id="12">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11 </w:t>
      </w:r>
      <w:bookmarkStart w:id="35" w:name="Bookmark_fnpara_11"/>
      <w:bookmarkEnd w:id="35"/>
      <w:r>
        <w:rPr>
          <w:rFonts w:ascii="arial" w:eastAsia="arial" w:hAnsi="arial" w:cs="arial"/>
          <w:b w:val="0"/>
          <w:i w:val="0"/>
          <w:strike w:val="0"/>
          <w:noProof w:val="0"/>
          <w:color w:val="000000"/>
          <w:position w:val="0"/>
          <w:sz w:val="18"/>
          <w:u w:val="none"/>
          <w:vertAlign w:val="baseline"/>
        </w:rPr>
        <w:t>(</w:t>
      </w:r>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at 13).</w:t>
      </w:r>
    </w:p>
  </w:footnote>
  <w:footnote w:id="13">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12 </w:t>
      </w:r>
      <w:bookmarkStart w:id="38" w:name="Bookmark_fnpara_12"/>
      <w:bookmarkEnd w:id="38"/>
      <w:bookmarkStart w:id="39" w:name="Bookmark_I6820TTV28T4FP0010000400"/>
      <w:bookmarkEnd w:id="39"/>
      <w:hyperlink r:id="rId7" w:history="1">
        <w:r>
          <w:rPr>
            <w:rFonts w:ascii="arial" w:eastAsia="arial" w:hAnsi="arial" w:cs="arial"/>
            <w:b w:val="0"/>
            <w:i/>
            <w:strike w:val="0"/>
            <w:noProof w:val="0"/>
            <w:color w:val="0077CC"/>
            <w:position w:val="0"/>
            <w:sz w:val="18"/>
            <w:u w:val="single"/>
            <w:vertAlign w:val="baseline"/>
          </w:rPr>
          <w:t>Norman v. United States</w:t>
        </w:r>
      </w:hyperlink>
      <w:hyperlink r:id="rId7" w:history="1">
        <w:r>
          <w:rPr>
            <w:rFonts w:ascii="arial" w:eastAsia="arial" w:hAnsi="arial" w:cs="arial"/>
            <w:b w:val="0"/>
            <w:i/>
            <w:strike w:val="0"/>
            <w:noProof w:val="0"/>
            <w:color w:val="0077CC"/>
            <w:position w:val="0"/>
            <w:sz w:val="18"/>
            <w:u w:val="single"/>
            <w:vertAlign w:val="baseline"/>
          </w:rPr>
          <w:t>, 376 F. Supp. 3d 700, 704 (N.D. Miss. 2019)</w:t>
        </w:r>
      </w:hyperlink>
      <w:r>
        <w:rPr>
          <w:rFonts w:ascii="arial" w:eastAsia="arial" w:hAnsi="arial" w:cs="arial"/>
          <w:b w:val="0"/>
          <w:i w:val="0"/>
          <w:strike w:val="0"/>
          <w:noProof w:val="0"/>
          <w:color w:val="000000"/>
          <w:position w:val="0"/>
          <w:sz w:val="18"/>
          <w:u w:val="none"/>
          <w:vertAlign w:val="baseline"/>
        </w:rPr>
        <w:t xml:space="preserve"> (citing </w:t>
      </w:r>
      <w:hyperlink r:id="rId8" w:history="1">
        <w:r>
          <w:rPr>
            <w:rFonts w:ascii="arial" w:eastAsia="arial" w:hAnsi="arial" w:cs="arial"/>
            <w:b w:val="0"/>
            <w:i/>
            <w:strike w:val="0"/>
            <w:noProof w:val="0"/>
            <w:color w:val="0077CC"/>
            <w:position w:val="0"/>
            <w:sz w:val="18"/>
            <w:u w:val="single"/>
            <w:vertAlign w:val="baseline"/>
          </w:rPr>
          <w:t xml:space="preserve">Rule 8, </w:t>
        </w:r>
      </w:hyperlink>
      <w:hyperlink r:id="rId8" w:history="1">
        <w:r>
          <w:rPr>
            <w:rFonts w:ascii="arial" w:eastAsia="arial" w:hAnsi="arial" w:cs="arial"/>
            <w:b w:val="0"/>
            <w:i/>
            <w:strike w:val="0"/>
            <w:noProof w:val="0"/>
            <w:color w:val="0077CC"/>
            <w:position w:val="0"/>
            <w:sz w:val="18"/>
            <w:u w:val="single"/>
            <w:vertAlign w:val="baseline"/>
          </w:rPr>
          <w:t>Rules Governing Section 2255 Proceedings</w:t>
        </w:r>
      </w:hyperlink>
      <w:hyperlink r:id="rId8" w:history="1">
        <w:r>
          <w:rPr>
            <w:rFonts w:ascii="arial" w:eastAsia="arial" w:hAnsi="arial" w:cs="arial"/>
            <w:b w:val="0"/>
            <w:i/>
            <w:strike w:val="0"/>
            <w:noProof w:val="0"/>
            <w:color w:val="0077CC"/>
            <w:position w:val="0"/>
            <w:sz w:val="18"/>
            <w:u w:val="single"/>
            <w:vertAlign w:val="baseline"/>
          </w:rPr>
          <w:t>)</w:t>
        </w:r>
      </w:hyperlink>
      <w:r>
        <w:rPr>
          <w:rFonts w:ascii="arial" w:eastAsia="arial" w:hAnsi="arial" w:cs="arial"/>
          <w:b w:val="0"/>
          <w:i w:val="0"/>
          <w:strike w:val="0"/>
          <w:noProof w:val="0"/>
          <w:color w:val="000000"/>
          <w:position w:val="0"/>
          <w:sz w:val="18"/>
          <w:u w:val="none"/>
          <w:vertAlign w:val="baseline"/>
        </w:rPr>
        <w:t xml:space="preserve"> (alteration in original).</w:t>
      </w:r>
    </w:p>
  </w:footnote>
  <w:footnote w:id="14">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13 </w:t>
      </w:r>
      <w:bookmarkStart w:id="40" w:name="Bookmark_fnpara_13"/>
      <w:bookmarkEnd w:id="40"/>
      <w:hyperlink r:id="rId8" w:history="1">
        <w:r>
          <w:rPr>
            <w:rFonts w:ascii="arial" w:eastAsia="arial" w:hAnsi="arial" w:cs="arial"/>
            <w:b w:val="0"/>
            <w:i/>
            <w:strike w:val="0"/>
            <w:noProof w:val="0"/>
            <w:color w:val="0077CC"/>
            <w:position w:val="0"/>
            <w:sz w:val="18"/>
            <w:u w:val="single"/>
            <w:vertAlign w:val="baseline"/>
          </w:rPr>
          <w:t xml:space="preserve">Rule 8, </w:t>
        </w:r>
      </w:hyperlink>
      <w:hyperlink r:id="rId8" w:history="1">
        <w:r>
          <w:rPr>
            <w:rFonts w:ascii="arial" w:eastAsia="arial" w:hAnsi="arial" w:cs="arial"/>
            <w:b w:val="0"/>
            <w:i/>
            <w:strike w:val="0"/>
            <w:noProof w:val="0"/>
            <w:color w:val="0077CC"/>
            <w:position w:val="0"/>
            <w:sz w:val="18"/>
            <w:u w:val="single"/>
            <w:vertAlign w:val="baseline"/>
          </w:rPr>
          <w:t>Rules Governing Section 2255 Proceedings</w:t>
        </w:r>
      </w:hyperlink>
      <w:hyperlink r:id="rId8" w:history="1">
        <w:r>
          <w:rPr>
            <w:rFonts w:ascii="arial" w:eastAsia="arial" w:hAnsi="arial" w:cs="arial"/>
            <w:b w:val="0"/>
            <w:i/>
            <w:strike w:val="0"/>
            <w:noProof w:val="0"/>
            <w:color w:val="0077CC"/>
            <w:position w:val="0"/>
            <w:sz w:val="18"/>
            <w:u w:val="single"/>
            <w:vertAlign w:val="baseline"/>
          </w:rPr>
          <w:t>.</w:t>
        </w:r>
      </w:hyperlink>
    </w:p>
  </w:footnote>
  <w:footnote w:id="15">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14 </w:t>
      </w:r>
      <w:bookmarkStart w:id="44" w:name="Bookmark_fnpara_14"/>
      <w:bookmarkEnd w:id="44"/>
      <w:bookmarkStart w:id="45" w:name="Bookmark_I6820TTV28T4FP0030000400"/>
      <w:bookmarkEnd w:id="45"/>
      <w:hyperlink r:id="rId9" w:history="1">
        <w:r>
          <w:rPr>
            <w:rFonts w:ascii="arial" w:eastAsia="arial" w:hAnsi="arial" w:cs="arial"/>
            <w:b w:val="0"/>
            <w:i/>
            <w:strike w:val="0"/>
            <w:noProof w:val="0"/>
            <w:color w:val="0077CC"/>
            <w:position w:val="0"/>
            <w:sz w:val="18"/>
            <w:u w:val="single"/>
            <w:vertAlign w:val="baseline"/>
          </w:rPr>
          <w:t>United States v. Bogomol</w:t>
        </w:r>
      </w:hyperlink>
      <w:hyperlink r:id="rId9" w:history="1">
        <w:r>
          <w:rPr>
            <w:rFonts w:ascii="arial" w:eastAsia="arial" w:hAnsi="arial" w:cs="arial"/>
            <w:b w:val="0"/>
            <w:i/>
            <w:strike w:val="0"/>
            <w:noProof w:val="0"/>
            <w:color w:val="0077CC"/>
            <w:position w:val="0"/>
            <w:sz w:val="18"/>
            <w:u w:val="single"/>
            <w:vertAlign w:val="baseline"/>
          </w:rPr>
          <w:t xml:space="preserve">, No. 18-11486, </w:t>
        </w:r>
      </w:hyperlink>
      <w:hyperlink r:id="rId9" w:history="1">
        <w:r>
          <w:rPr>
            <w:rFonts w:ascii="arial" w:eastAsia="arial" w:hAnsi="arial" w:cs="arial"/>
            <w:b w:val="0"/>
            <w:i/>
            <w:strike w:val="0"/>
            <w:noProof w:val="0"/>
            <w:color w:val="0077CC"/>
            <w:position w:val="0"/>
            <w:sz w:val="18"/>
            <w:u w:val="single"/>
            <w:vertAlign w:val="baseline"/>
          </w:rPr>
          <w:t>   </w:t>
        </w:r>
      </w:hyperlink>
      <w:hyperlink r:id="rId9" w:history="1">
        <w:r>
          <w:rPr>
            <w:rFonts w:ascii="arial" w:eastAsia="arial" w:hAnsi="arial" w:cs="arial"/>
            <w:b w:val="0"/>
            <w:i/>
            <w:strike w:val="0"/>
            <w:noProof w:val="0"/>
            <w:color w:val="0077CC"/>
            <w:position w:val="0"/>
            <w:sz w:val="18"/>
            <w:u w:val="single"/>
            <w:vertAlign w:val="baseline"/>
          </w:rPr>
          <w:t xml:space="preserve"> F. App'x </w:t>
        </w:r>
      </w:hyperlink>
      <w:hyperlink r:id="rId9" w:history="1">
        <w:r>
          <w:rPr>
            <w:rFonts w:ascii="arial" w:eastAsia="arial" w:hAnsi="arial" w:cs="arial"/>
            <w:b w:val="0"/>
            <w:i/>
            <w:strike w:val="0"/>
            <w:noProof w:val="0"/>
            <w:color w:val="0077CC"/>
            <w:position w:val="0"/>
            <w:sz w:val="18"/>
            <w:u w:val="single"/>
            <w:vertAlign w:val="baseline"/>
          </w:rPr>
          <w:t>   </w:t>
        </w:r>
      </w:hyperlink>
      <w:hyperlink r:id="rId9" w:history="1">
        <w:r>
          <w:rPr>
            <w:rFonts w:ascii="arial" w:eastAsia="arial" w:hAnsi="arial" w:cs="arial"/>
            <w:b w:val="0"/>
            <w:i/>
            <w:strike w:val="0"/>
            <w:noProof w:val="0"/>
            <w:color w:val="0077CC"/>
            <w:position w:val="0"/>
            <w:sz w:val="18"/>
            <w:u w:val="single"/>
            <w:vertAlign w:val="baseline"/>
          </w:rPr>
          <w:t xml:space="preserve"> , 2021 U.S. App. LEXIS 24148, 2021 WL 3620444, at *3 (5th Cir. Aug. 13, 2021)</w:t>
        </w:r>
      </w:hyperlink>
      <w:r>
        <w:rPr>
          <w:rFonts w:ascii="arial" w:eastAsia="arial" w:hAnsi="arial" w:cs="arial"/>
          <w:b w:val="0"/>
          <w:i w:val="0"/>
          <w:strike w:val="0"/>
          <w:noProof w:val="0"/>
          <w:color w:val="000000"/>
          <w:position w:val="0"/>
          <w:sz w:val="18"/>
          <w:u w:val="none"/>
          <w:vertAlign w:val="baseline"/>
        </w:rPr>
        <w:t xml:space="preserve"> (original alterations omitted) (citing </w:t>
      </w:r>
      <w:bookmarkStart w:id="46" w:name="Bookmark_I6820TTV28T4FP0050000400"/>
      <w:bookmarkEnd w:id="46"/>
      <w:hyperlink r:id="rId10" w:history="1">
        <w:r>
          <w:rPr>
            <w:rFonts w:ascii="arial" w:eastAsia="arial" w:hAnsi="arial" w:cs="arial"/>
            <w:b w:val="0"/>
            <w:i/>
            <w:strike w:val="0"/>
            <w:noProof w:val="0"/>
            <w:color w:val="0077CC"/>
            <w:position w:val="0"/>
            <w:sz w:val="18"/>
            <w:u w:val="single"/>
            <w:vertAlign w:val="baseline"/>
          </w:rPr>
          <w:t>United States v. Edwards</w:t>
        </w:r>
      </w:hyperlink>
      <w:hyperlink r:id="rId10" w:history="1">
        <w:r>
          <w:rPr>
            <w:rFonts w:ascii="arial" w:eastAsia="arial" w:hAnsi="arial" w:cs="arial"/>
            <w:b w:val="0"/>
            <w:i/>
            <w:strike w:val="0"/>
            <w:noProof w:val="0"/>
            <w:color w:val="0077CC"/>
            <w:position w:val="0"/>
            <w:sz w:val="18"/>
            <w:u w:val="single"/>
            <w:vertAlign w:val="baseline"/>
          </w:rPr>
          <w:t>, 442 F.3d 258, 264 (5th Cir. 2006)</w:t>
        </w:r>
      </w:hyperlink>
      <w:r>
        <w:rPr>
          <w:rFonts w:ascii="arial" w:eastAsia="arial" w:hAnsi="arial" w:cs="arial"/>
          <w:b w:val="0"/>
          <w:i w:val="0"/>
          <w:strike w:val="0"/>
          <w:noProof w:val="0"/>
          <w:color w:val="000000"/>
          <w:position w:val="0"/>
          <w:sz w:val="18"/>
          <w:u w:val="none"/>
          <w:vertAlign w:val="baseline"/>
        </w:rPr>
        <w:t>).</w:t>
      </w:r>
    </w:p>
  </w:footnote>
  <w:footnote w:id="16">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15 </w:t>
      </w:r>
      <w:bookmarkStart w:id="47" w:name="Bookmark_fnpara_15"/>
      <w:bookmarkEnd w:id="47"/>
      <w:bookmarkStart w:id="48" w:name="Bookmark_I6820TTW2SF81K0020000400"/>
      <w:bookmarkEnd w:id="48"/>
      <w:hyperlink r:id="rId11" w:history="1">
        <w:r>
          <w:rPr>
            <w:rFonts w:ascii="arial" w:eastAsia="arial" w:hAnsi="arial" w:cs="arial"/>
            <w:b w:val="0"/>
            <w:i/>
            <w:strike w:val="0"/>
            <w:noProof w:val="0"/>
            <w:color w:val="0077CC"/>
            <w:position w:val="0"/>
            <w:sz w:val="18"/>
            <w:u w:val="single"/>
            <w:vertAlign w:val="baseline"/>
          </w:rPr>
          <w:t>United States v. Harrison</w:t>
        </w:r>
      </w:hyperlink>
      <w:hyperlink r:id="rId11" w:history="1">
        <w:r>
          <w:rPr>
            <w:rFonts w:ascii="arial" w:eastAsia="arial" w:hAnsi="arial" w:cs="arial"/>
            <w:b w:val="0"/>
            <w:i/>
            <w:strike w:val="0"/>
            <w:noProof w:val="0"/>
            <w:color w:val="0077CC"/>
            <w:position w:val="0"/>
            <w:sz w:val="18"/>
            <w:u w:val="single"/>
            <w:vertAlign w:val="baseline"/>
          </w:rPr>
          <w:t>, 910 F.3d 824, 826-27 (5th Cir. 2018)</w:t>
        </w:r>
      </w:hyperlink>
      <w:r>
        <w:rPr>
          <w:rFonts w:ascii="arial" w:eastAsia="arial" w:hAnsi="arial" w:cs="arial"/>
          <w:b w:val="0"/>
          <w:i w:val="0"/>
          <w:strike w:val="0"/>
          <w:noProof w:val="0"/>
          <w:color w:val="000000"/>
          <w:position w:val="0"/>
          <w:sz w:val="18"/>
          <w:u w:val="none"/>
          <w:vertAlign w:val="baseline"/>
        </w:rPr>
        <w:t xml:space="preserve"> (citing </w:t>
      </w:r>
      <w:bookmarkStart w:id="49" w:name="Bookmark_I6820TTW2SF81K0040000400"/>
      <w:bookmarkEnd w:id="49"/>
      <w:hyperlink r:id="rId12" w:history="1">
        <w:r>
          <w:rPr>
            <w:rFonts w:ascii="arial" w:eastAsia="arial" w:hAnsi="arial" w:cs="arial"/>
            <w:b w:val="0"/>
            <w:i/>
            <w:strike w:val="0"/>
            <w:noProof w:val="0"/>
            <w:color w:val="0077CC"/>
            <w:position w:val="0"/>
            <w:sz w:val="18"/>
            <w:u w:val="single"/>
            <w:vertAlign w:val="baseline"/>
          </w:rPr>
          <w:t>United States v. Guerra</w:t>
        </w:r>
      </w:hyperlink>
      <w:hyperlink r:id="rId12" w:history="1">
        <w:r>
          <w:rPr>
            <w:rFonts w:ascii="arial" w:eastAsia="arial" w:hAnsi="arial" w:cs="arial"/>
            <w:b w:val="0"/>
            <w:i/>
            <w:strike w:val="0"/>
            <w:noProof w:val="0"/>
            <w:color w:val="0077CC"/>
            <w:position w:val="0"/>
            <w:sz w:val="18"/>
            <w:u w:val="single"/>
            <w:vertAlign w:val="baseline"/>
          </w:rPr>
          <w:t>, 588 F.2d 519, 521 (5th Cir. 1979)</w:t>
        </w:r>
      </w:hyperlink>
      <w:r>
        <w:rPr>
          <w:rFonts w:ascii="arial" w:eastAsia="arial" w:hAnsi="arial" w:cs="arial"/>
          <w:b w:val="0"/>
          <w:i w:val="0"/>
          <w:strike w:val="0"/>
          <w:noProof w:val="0"/>
          <w:color w:val="000000"/>
          <w:position w:val="0"/>
          <w:sz w:val="18"/>
          <w:u w:val="none"/>
          <w:vertAlign w:val="baseline"/>
        </w:rPr>
        <w:t>)</w:t>
      </w:r>
    </w:p>
  </w:footnote>
  <w:footnote w:id="17">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16 </w:t>
      </w:r>
      <w:bookmarkStart w:id="52" w:name="Bookmark_fnpara_16"/>
      <w:bookmarkEnd w:id="52"/>
      <w:r>
        <w:rPr>
          <w:rFonts w:ascii="arial" w:eastAsia="arial" w:hAnsi="arial" w:cs="arial"/>
          <w:b w:val="0"/>
          <w:i/>
          <w:strike w:val="0"/>
          <w:noProof w:val="0"/>
          <w:color w:val="000000"/>
          <w:position w:val="0"/>
          <w:sz w:val="18"/>
          <w:u w:val="none"/>
          <w:vertAlign w:val="baseline"/>
        </w:rPr>
        <w:t xml:space="preserve">See </w:t>
      </w:r>
      <w:bookmarkStart w:id="53" w:name="Bookmark_I6820TTW2D6NBD0010000400"/>
      <w:bookmarkEnd w:id="53"/>
      <w:hyperlink r:id="rId13" w:history="1">
        <w:r>
          <w:rPr>
            <w:rFonts w:ascii="arial" w:eastAsia="arial" w:hAnsi="arial" w:cs="arial"/>
            <w:b w:val="0"/>
            <w:i/>
            <w:strike w:val="0"/>
            <w:noProof w:val="0"/>
            <w:color w:val="0077CC"/>
            <w:position w:val="0"/>
            <w:sz w:val="18"/>
            <w:u w:val="single"/>
            <w:vertAlign w:val="baseline"/>
          </w:rPr>
          <w:t>United States v. Tate</w:t>
        </w:r>
      </w:hyperlink>
      <w:hyperlink r:id="rId13" w:history="1">
        <w:r>
          <w:rPr>
            <w:rFonts w:ascii="arial" w:eastAsia="arial" w:hAnsi="arial" w:cs="arial"/>
            <w:b w:val="0"/>
            <w:i/>
            <w:strike w:val="0"/>
            <w:noProof w:val="0"/>
            <w:color w:val="0077CC"/>
            <w:position w:val="0"/>
            <w:sz w:val="18"/>
            <w:u w:val="single"/>
            <w:vertAlign w:val="baseline"/>
          </w:rPr>
          <w:t>, Nos. H-15-631-1, H-18-4234, 2021 U.S. Dist. LEXIS 126120, 2021 WL 2834675, at *8 (S.D. Tex. July 7, 2021)</w:t>
        </w:r>
      </w:hyperlink>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 xml:space="preserve">see also </w:t>
      </w:r>
      <w:bookmarkStart w:id="54" w:name="Bookmark_I6820TTW2D6NBD0030000400"/>
      <w:bookmarkEnd w:id="54"/>
      <w:hyperlink r:id="rId14" w:history="1">
        <w:r>
          <w:rPr>
            <w:rFonts w:ascii="arial" w:eastAsia="arial" w:hAnsi="arial" w:cs="arial"/>
            <w:b w:val="0"/>
            <w:i/>
            <w:strike w:val="0"/>
            <w:noProof w:val="0"/>
            <w:color w:val="0077CC"/>
            <w:position w:val="0"/>
            <w:sz w:val="18"/>
            <w:u w:val="single"/>
            <w:vertAlign w:val="baseline"/>
          </w:rPr>
          <w:t>Elliott v. United States</w:t>
        </w:r>
      </w:hyperlink>
      <w:hyperlink r:id="rId14" w:history="1">
        <w:r>
          <w:rPr>
            <w:rFonts w:ascii="arial" w:eastAsia="arial" w:hAnsi="arial" w:cs="arial"/>
            <w:b w:val="0"/>
            <w:i/>
            <w:strike w:val="0"/>
            <w:noProof w:val="0"/>
            <w:color w:val="0077CC"/>
            <w:position w:val="0"/>
            <w:sz w:val="18"/>
            <w:u w:val="single"/>
            <w:vertAlign w:val="baseline"/>
          </w:rPr>
          <w:t>, Nos. 4:16cv621, 2019 U.S. Dist. LEXIS 139951, 2019 WL 3890161, at *7-8 (E.D. Tex. June 26, 2019)</w:t>
        </w:r>
      </w:hyperlink>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report and recommendation adopted</w:t>
      </w:r>
      <w:r>
        <w:rPr>
          <w:rFonts w:ascii="arial" w:eastAsia="arial" w:hAnsi="arial" w:cs="arial"/>
          <w:b w:val="0"/>
          <w:i w:val="0"/>
          <w:strike w:val="0"/>
          <w:noProof w:val="0"/>
          <w:color w:val="000000"/>
          <w:position w:val="0"/>
          <w:sz w:val="18"/>
          <w:u w:val="none"/>
          <w:vertAlign w:val="baseline"/>
        </w:rPr>
        <w:t xml:space="preserve">, </w:t>
      </w:r>
      <w:bookmarkStart w:id="55" w:name="Bookmark_I6820TTW2D6NBD0050000400"/>
      <w:bookmarkEnd w:id="55"/>
      <w:hyperlink r:id="rId15" w:history="1">
        <w:r>
          <w:rPr>
            <w:rFonts w:ascii="arial" w:eastAsia="arial" w:hAnsi="arial" w:cs="arial"/>
            <w:b w:val="0"/>
            <w:i/>
            <w:strike w:val="0"/>
            <w:noProof w:val="0"/>
            <w:color w:val="0077CC"/>
            <w:position w:val="0"/>
            <w:sz w:val="18"/>
            <w:u w:val="single"/>
            <w:vertAlign w:val="baseline"/>
          </w:rPr>
          <w:t>Nos. 4:16-CV-621, 4:14-CR11(01), 2019 U.S. Dist. LEXIS 139378, 2019 WL 3858662 (E.D. Tex. Aug. 16, 2019)</w:t>
        </w:r>
      </w:hyperlink>
      <w:r>
        <w:rPr>
          <w:rFonts w:ascii="arial" w:eastAsia="arial" w:hAnsi="arial" w:cs="arial"/>
          <w:b w:val="0"/>
          <w:i w:val="0"/>
          <w:strike w:val="0"/>
          <w:noProof w:val="0"/>
          <w:color w:val="000000"/>
          <w:position w:val="0"/>
          <w:sz w:val="18"/>
          <w:u w:val="none"/>
          <w:vertAlign w:val="baseline"/>
        </w:rPr>
        <w:t>.</w:t>
      </w:r>
    </w:p>
  </w:footnote>
  <w:footnote w:id="18">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17 </w:t>
      </w:r>
      <w:bookmarkStart w:id="62" w:name="Bookmark_fnpara_17"/>
      <w:bookmarkEnd w:id="62"/>
      <w:bookmarkStart w:id="63" w:name="Bookmark_I6820TTX2N1R5T0020000400"/>
      <w:bookmarkEnd w:id="63"/>
      <w:hyperlink r:id="rId16" w:history="1">
        <w:r>
          <w:rPr>
            <w:rFonts w:ascii="arial" w:eastAsia="arial" w:hAnsi="arial" w:cs="arial"/>
            <w:b w:val="0"/>
            <w:i/>
            <w:strike w:val="0"/>
            <w:noProof w:val="0"/>
            <w:color w:val="0077CC"/>
            <w:position w:val="0"/>
            <w:sz w:val="18"/>
            <w:u w:val="single"/>
            <w:vertAlign w:val="baseline"/>
          </w:rPr>
          <w:t>United States v. Guzman</w:t>
        </w:r>
      </w:hyperlink>
      <w:hyperlink r:id="rId16" w:history="1">
        <w:r>
          <w:rPr>
            <w:rFonts w:ascii="arial" w:eastAsia="arial" w:hAnsi="arial" w:cs="arial"/>
            <w:b w:val="0"/>
            <w:i/>
            <w:strike w:val="0"/>
            <w:noProof w:val="0"/>
            <w:color w:val="0077CC"/>
            <w:position w:val="0"/>
            <w:sz w:val="18"/>
            <w:u w:val="single"/>
            <w:vertAlign w:val="baseline"/>
          </w:rPr>
          <w:t>, No. 19-10783, 2021 U.S. App. LEXIS 30059, 2021 WL 4610124, at *2 (5th Cir. Oct. 6, 2021)</w:t>
        </w:r>
      </w:hyperlink>
      <w:r>
        <w:rPr>
          <w:rFonts w:ascii="arial" w:eastAsia="arial" w:hAnsi="arial" w:cs="arial"/>
          <w:b w:val="0"/>
          <w:i w:val="0"/>
          <w:strike w:val="0"/>
          <w:noProof w:val="0"/>
          <w:color w:val="000000"/>
          <w:position w:val="0"/>
          <w:sz w:val="18"/>
          <w:u w:val="none"/>
          <w:vertAlign w:val="baseline"/>
        </w:rPr>
        <w:t xml:space="preserve"> (citing </w:t>
      </w:r>
      <w:bookmarkStart w:id="64" w:name="Bookmark_I6820TTX2N1R5T0040000400"/>
      <w:bookmarkEnd w:id="64"/>
      <w:hyperlink r:id="rId17" w:history="1">
        <w:r>
          <w:rPr>
            <w:rFonts w:ascii="arial" w:eastAsia="arial" w:hAnsi="arial" w:cs="arial"/>
            <w:b w:val="0"/>
            <w:i/>
            <w:strike w:val="0"/>
            <w:noProof w:val="0"/>
            <w:color w:val="0077CC"/>
            <w:position w:val="0"/>
            <w:sz w:val="18"/>
            <w:u w:val="single"/>
            <w:vertAlign w:val="baseline"/>
          </w:rPr>
          <w:t>Strickland v. Washington</w:t>
        </w:r>
      </w:hyperlink>
      <w:hyperlink r:id="rId17" w:history="1">
        <w:r>
          <w:rPr>
            <w:rFonts w:ascii="arial" w:eastAsia="arial" w:hAnsi="arial" w:cs="arial"/>
            <w:b w:val="0"/>
            <w:i/>
            <w:strike w:val="0"/>
            <w:noProof w:val="0"/>
            <w:color w:val="0077CC"/>
            <w:position w:val="0"/>
            <w:sz w:val="18"/>
            <w:u w:val="single"/>
            <w:vertAlign w:val="baseline"/>
          </w:rPr>
          <w:t>, 466 U.S. 668, 687, 104 S. Ct. 2052, 80 L. Ed. 2d 674 (1984)</w:t>
        </w:r>
      </w:hyperlink>
      <w:r>
        <w:rPr>
          <w:rFonts w:ascii="arial" w:eastAsia="arial" w:hAnsi="arial" w:cs="arial"/>
          <w:b w:val="0"/>
          <w:i w:val="0"/>
          <w:strike w:val="0"/>
          <w:noProof w:val="0"/>
          <w:color w:val="000000"/>
          <w:position w:val="0"/>
          <w:sz w:val="18"/>
          <w:u w:val="none"/>
          <w:vertAlign w:val="baseline"/>
        </w:rPr>
        <w:t xml:space="preserve">); </w:t>
      </w:r>
      <w:bookmarkStart w:id="65" w:name="Bookmark_I6820TTX2SF81P0010000400"/>
      <w:bookmarkEnd w:id="65"/>
      <w:hyperlink r:id="rId18" w:history="1">
        <w:r>
          <w:rPr>
            <w:rFonts w:ascii="arial" w:eastAsia="arial" w:hAnsi="arial" w:cs="arial"/>
            <w:b w:val="0"/>
            <w:i/>
            <w:strike w:val="0"/>
            <w:noProof w:val="0"/>
            <w:color w:val="0077CC"/>
            <w:position w:val="0"/>
            <w:sz w:val="18"/>
            <w:u w:val="single"/>
            <w:vertAlign w:val="baseline"/>
          </w:rPr>
          <w:t>United States v. Scott</w:t>
        </w:r>
      </w:hyperlink>
      <w:hyperlink r:id="rId18" w:history="1">
        <w:r>
          <w:rPr>
            <w:rFonts w:ascii="arial" w:eastAsia="arial" w:hAnsi="arial" w:cs="arial"/>
            <w:b w:val="0"/>
            <w:i/>
            <w:strike w:val="0"/>
            <w:noProof w:val="0"/>
            <w:color w:val="0077CC"/>
            <w:position w:val="0"/>
            <w:sz w:val="18"/>
            <w:u w:val="single"/>
            <w:vertAlign w:val="baseline"/>
          </w:rPr>
          <w:t>, 11 F.4th 364, 368 (5th Cir. 2021)</w:t>
        </w:r>
      </w:hyperlink>
      <w:r>
        <w:rPr>
          <w:rFonts w:ascii="arial" w:eastAsia="arial" w:hAnsi="arial" w:cs="arial"/>
          <w:b w:val="0"/>
          <w:i w:val="0"/>
          <w:strike w:val="0"/>
          <w:noProof w:val="0"/>
          <w:color w:val="000000"/>
          <w:position w:val="0"/>
          <w:sz w:val="18"/>
          <w:u w:val="none"/>
          <w:vertAlign w:val="baseline"/>
        </w:rPr>
        <w:t xml:space="preserve"> (citing </w:t>
      </w:r>
      <w:bookmarkStart w:id="66" w:name="Bookmark_I6820TTX2SF81P0030000400"/>
      <w:bookmarkEnd w:id="66"/>
      <w:hyperlink r:id="rId19" w:history="1">
        <w:r>
          <w:rPr>
            <w:rFonts w:ascii="arial" w:eastAsia="arial" w:hAnsi="arial" w:cs="arial"/>
            <w:b w:val="0"/>
            <w:i/>
            <w:strike w:val="0"/>
            <w:noProof w:val="0"/>
            <w:color w:val="0077CC"/>
            <w:position w:val="0"/>
            <w:sz w:val="18"/>
            <w:u w:val="single"/>
            <w:vertAlign w:val="baseline"/>
          </w:rPr>
          <w:t>Garza v. Idaho</w:t>
        </w:r>
      </w:hyperlink>
      <w:hyperlink r:id="rId19" w:history="1">
        <w:r>
          <w:rPr>
            <w:rFonts w:ascii="arial" w:eastAsia="arial" w:hAnsi="arial" w:cs="arial"/>
            <w:b w:val="0"/>
            <w:i/>
            <w:strike w:val="0"/>
            <w:noProof w:val="0"/>
            <w:color w:val="0077CC"/>
            <w:position w:val="0"/>
            <w:sz w:val="18"/>
            <w:u w:val="single"/>
            <w:vertAlign w:val="baseline"/>
          </w:rPr>
          <w:t>, 139 S. Ct. 738, 744, 203 L. Ed. 2d 77 (2019)</w:t>
        </w:r>
      </w:hyperlink>
      <w:r>
        <w:rPr>
          <w:rFonts w:ascii="arial" w:eastAsia="arial" w:hAnsi="arial" w:cs="arial"/>
          <w:b w:val="0"/>
          <w:i w:val="0"/>
          <w:strike w:val="0"/>
          <w:noProof w:val="0"/>
          <w:color w:val="000000"/>
          <w:position w:val="0"/>
          <w:sz w:val="18"/>
          <w:u w:val="none"/>
          <w:vertAlign w:val="baseline"/>
        </w:rPr>
        <w:t xml:space="preserve">); </w:t>
      </w:r>
      <w:bookmarkStart w:id="67" w:name="Bookmark_I6820TTX2SF81P0050000400"/>
      <w:bookmarkEnd w:id="67"/>
      <w:hyperlink r:id="rId20" w:history="1">
        <w:r>
          <w:rPr>
            <w:rFonts w:ascii="arial" w:eastAsia="arial" w:hAnsi="arial" w:cs="arial"/>
            <w:b w:val="0"/>
            <w:i/>
            <w:strike w:val="0"/>
            <w:noProof w:val="0"/>
            <w:color w:val="0077CC"/>
            <w:position w:val="0"/>
            <w:sz w:val="18"/>
            <w:u w:val="single"/>
            <w:vertAlign w:val="baseline"/>
          </w:rPr>
          <w:t>Lee v. United States</w:t>
        </w:r>
      </w:hyperlink>
      <w:hyperlink r:id="rId20" w:history="1">
        <w:r>
          <w:rPr>
            <w:rFonts w:ascii="arial" w:eastAsia="arial" w:hAnsi="arial" w:cs="arial"/>
            <w:b w:val="0"/>
            <w:i/>
            <w:strike w:val="0"/>
            <w:noProof w:val="0"/>
            <w:color w:val="0077CC"/>
            <w:position w:val="0"/>
            <w:sz w:val="18"/>
            <w:u w:val="single"/>
            <w:vertAlign w:val="baseline"/>
          </w:rPr>
          <w:t>, 582 U.S. 357, 137 S. Ct. 1958, 1964, 198 L. Ed. 2d 476 (2017)</w:t>
        </w:r>
      </w:hyperlink>
      <w:r>
        <w:rPr>
          <w:rFonts w:ascii="arial" w:eastAsia="arial" w:hAnsi="arial" w:cs="arial"/>
          <w:b w:val="0"/>
          <w:i w:val="0"/>
          <w:strike w:val="0"/>
          <w:noProof w:val="0"/>
          <w:color w:val="000000"/>
          <w:position w:val="0"/>
          <w:sz w:val="18"/>
          <w:u w:val="none"/>
          <w:vertAlign w:val="baseline"/>
        </w:rPr>
        <w:t xml:space="preserve"> (citing </w:t>
      </w:r>
      <w:bookmarkStart w:id="68" w:name="Bookmark_I6820TTX2HM69V0020000400"/>
      <w:bookmarkEnd w:id="68"/>
      <w:hyperlink r:id="rId17" w:history="1">
        <w:r>
          <w:rPr>
            <w:rFonts w:ascii="arial" w:eastAsia="arial" w:hAnsi="arial" w:cs="arial"/>
            <w:b w:val="0"/>
            <w:i/>
            <w:strike w:val="0"/>
            <w:noProof w:val="0"/>
            <w:color w:val="0077CC"/>
            <w:position w:val="0"/>
            <w:sz w:val="18"/>
            <w:u w:val="single"/>
            <w:vertAlign w:val="baseline"/>
          </w:rPr>
          <w:t>Strickland</w:t>
        </w:r>
      </w:hyperlink>
      <w:hyperlink r:id="rId17" w:history="1">
        <w:r>
          <w:rPr>
            <w:rFonts w:ascii="arial" w:eastAsia="arial" w:hAnsi="arial" w:cs="arial"/>
            <w:b w:val="0"/>
            <w:i/>
            <w:strike w:val="0"/>
            <w:noProof w:val="0"/>
            <w:color w:val="0077CC"/>
            <w:position w:val="0"/>
            <w:sz w:val="18"/>
            <w:u w:val="single"/>
            <w:vertAlign w:val="baseline"/>
          </w:rPr>
          <w:t>, 466 U.S. at 688</w:t>
        </w:r>
      </w:hyperlink>
      <w:r>
        <w:rPr>
          <w:rFonts w:ascii="arial" w:eastAsia="arial" w:hAnsi="arial" w:cs="arial"/>
          <w:b w:val="0"/>
          <w:i w:val="0"/>
          <w:strike w:val="0"/>
          <w:noProof w:val="0"/>
          <w:color w:val="000000"/>
          <w:position w:val="0"/>
          <w:sz w:val="18"/>
          <w:u w:val="none"/>
          <w:vertAlign w:val="baseline"/>
        </w:rPr>
        <w:t>).</w:t>
      </w:r>
    </w:p>
  </w:footnote>
  <w:footnote w:id="19">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18 </w:t>
      </w:r>
      <w:bookmarkStart w:id="69" w:name="Bookmark_fnpara_18"/>
      <w:bookmarkEnd w:id="69"/>
      <w:bookmarkStart w:id="70" w:name="Bookmark_I6820TTX2HM69V0040000400"/>
      <w:bookmarkEnd w:id="70"/>
      <w:hyperlink r:id="rId21" w:history="1">
        <w:r>
          <w:rPr>
            <w:rFonts w:ascii="arial" w:eastAsia="arial" w:hAnsi="arial" w:cs="arial"/>
            <w:b w:val="0"/>
            <w:i/>
            <w:strike w:val="0"/>
            <w:noProof w:val="0"/>
            <w:color w:val="0077CC"/>
            <w:position w:val="0"/>
            <w:sz w:val="18"/>
            <w:u w:val="single"/>
            <w:vertAlign w:val="baseline"/>
          </w:rPr>
          <w:t>Jones v. United States</w:t>
        </w:r>
      </w:hyperlink>
      <w:hyperlink r:id="rId21" w:history="1">
        <w:r>
          <w:rPr>
            <w:rFonts w:ascii="arial" w:eastAsia="arial" w:hAnsi="arial" w:cs="arial"/>
            <w:b w:val="0"/>
            <w:i/>
            <w:strike w:val="0"/>
            <w:noProof w:val="0"/>
            <w:color w:val="0077CC"/>
            <w:position w:val="0"/>
            <w:sz w:val="18"/>
            <w:u w:val="single"/>
            <w:vertAlign w:val="baseline"/>
          </w:rPr>
          <w:t>, 14 F. Supp. 3d 811, 815 (W.D. Tex. 2014)</w:t>
        </w:r>
      </w:hyperlink>
      <w:r>
        <w:rPr>
          <w:rFonts w:ascii="arial" w:eastAsia="arial" w:hAnsi="arial" w:cs="arial"/>
          <w:b w:val="0"/>
          <w:i w:val="0"/>
          <w:strike w:val="0"/>
          <w:noProof w:val="0"/>
          <w:color w:val="000000"/>
          <w:position w:val="0"/>
          <w:sz w:val="18"/>
          <w:u w:val="none"/>
          <w:vertAlign w:val="baseline"/>
        </w:rPr>
        <w:t xml:space="preserve"> (quoting </w:t>
      </w:r>
      <w:bookmarkStart w:id="71" w:name="Bookmark_I6820TTY2N1R5X0010000400"/>
      <w:bookmarkEnd w:id="71"/>
      <w:hyperlink r:id="rId17" w:history="1">
        <w:r>
          <w:rPr>
            <w:rFonts w:ascii="arial" w:eastAsia="arial" w:hAnsi="arial" w:cs="arial"/>
            <w:b w:val="0"/>
            <w:i/>
            <w:strike w:val="0"/>
            <w:noProof w:val="0"/>
            <w:color w:val="0077CC"/>
            <w:position w:val="0"/>
            <w:sz w:val="18"/>
            <w:u w:val="single"/>
            <w:vertAlign w:val="baseline"/>
          </w:rPr>
          <w:t>Strickland</w:t>
        </w:r>
      </w:hyperlink>
      <w:hyperlink r:id="rId17" w:history="1">
        <w:r>
          <w:rPr>
            <w:rFonts w:ascii="arial" w:eastAsia="arial" w:hAnsi="arial" w:cs="arial"/>
            <w:b w:val="0"/>
            <w:i/>
            <w:strike w:val="0"/>
            <w:noProof w:val="0"/>
            <w:color w:val="0077CC"/>
            <w:position w:val="0"/>
            <w:sz w:val="18"/>
            <w:u w:val="single"/>
            <w:vertAlign w:val="baseline"/>
          </w:rPr>
          <w:t>, 466 U.S. at 687</w:t>
        </w:r>
      </w:hyperlink>
      <w:r>
        <w:rPr>
          <w:rFonts w:ascii="arial" w:eastAsia="arial" w:hAnsi="arial" w:cs="arial"/>
          <w:b w:val="0"/>
          <w:i w:val="0"/>
          <w:strike w:val="0"/>
          <w:noProof w:val="0"/>
          <w:color w:val="000000"/>
          <w:position w:val="0"/>
          <w:sz w:val="18"/>
          <w:u w:val="none"/>
          <w:vertAlign w:val="baseline"/>
        </w:rPr>
        <w:t>).</w:t>
      </w:r>
    </w:p>
  </w:footnote>
  <w:footnote w:id="20">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19 </w:t>
      </w:r>
      <w:bookmarkStart w:id="72" w:name="Bookmark_fnpara_19"/>
      <w:bookmarkEnd w:id="72"/>
      <w:bookmarkStart w:id="73" w:name="Bookmark_I6820TTY2N1R5X0030000400"/>
      <w:bookmarkEnd w:id="73"/>
      <w:hyperlink r:id="rId22" w:history="1">
        <w:r>
          <w:rPr>
            <w:rFonts w:ascii="arial" w:eastAsia="arial" w:hAnsi="arial" w:cs="arial"/>
            <w:b w:val="0"/>
            <w:i/>
            <w:strike w:val="0"/>
            <w:noProof w:val="0"/>
            <w:color w:val="0077CC"/>
            <w:position w:val="0"/>
            <w:sz w:val="18"/>
            <w:u w:val="single"/>
            <w:vertAlign w:val="baseline"/>
          </w:rPr>
          <w:t>King v. Davis</w:t>
        </w:r>
      </w:hyperlink>
      <w:hyperlink r:id="rId22" w:history="1">
        <w:r>
          <w:rPr>
            <w:rFonts w:ascii="arial" w:eastAsia="arial" w:hAnsi="arial" w:cs="arial"/>
            <w:b w:val="0"/>
            <w:i/>
            <w:strike w:val="0"/>
            <w:noProof w:val="0"/>
            <w:color w:val="0077CC"/>
            <w:position w:val="0"/>
            <w:sz w:val="18"/>
            <w:u w:val="single"/>
            <w:vertAlign w:val="baseline"/>
          </w:rPr>
          <w:t>, 883 F.3d 577, 586 (5th Cir. 2018)</w:t>
        </w:r>
      </w:hyperlink>
      <w:r>
        <w:rPr>
          <w:rFonts w:ascii="arial" w:eastAsia="arial" w:hAnsi="arial" w:cs="arial"/>
          <w:b w:val="0"/>
          <w:i w:val="0"/>
          <w:strike w:val="0"/>
          <w:noProof w:val="0"/>
          <w:color w:val="000000"/>
          <w:position w:val="0"/>
          <w:sz w:val="18"/>
          <w:u w:val="none"/>
          <w:vertAlign w:val="baseline"/>
        </w:rPr>
        <w:t xml:space="preserve"> (quoting </w:t>
      </w:r>
      <w:bookmarkStart w:id="74" w:name="Bookmark_I6820TTY2N1R5X0050000400"/>
      <w:bookmarkEnd w:id="74"/>
      <w:hyperlink r:id="rId23" w:history="1">
        <w:r>
          <w:rPr>
            <w:rFonts w:ascii="arial" w:eastAsia="arial" w:hAnsi="arial" w:cs="arial"/>
            <w:b w:val="0"/>
            <w:i/>
            <w:strike w:val="0"/>
            <w:noProof w:val="0"/>
            <w:color w:val="0077CC"/>
            <w:position w:val="0"/>
            <w:sz w:val="18"/>
            <w:u w:val="single"/>
            <w:vertAlign w:val="baseline"/>
          </w:rPr>
          <w:t>Rhoades v. Davis</w:t>
        </w:r>
      </w:hyperlink>
      <w:hyperlink r:id="rId23" w:history="1">
        <w:r>
          <w:rPr>
            <w:rFonts w:ascii="arial" w:eastAsia="arial" w:hAnsi="arial" w:cs="arial"/>
            <w:b w:val="0"/>
            <w:i/>
            <w:strike w:val="0"/>
            <w:noProof w:val="0"/>
            <w:color w:val="0077CC"/>
            <w:position w:val="0"/>
            <w:sz w:val="18"/>
            <w:u w:val="single"/>
            <w:vertAlign w:val="baseline"/>
          </w:rPr>
          <w:t>, 852 F.3d 422, 431 (5th Cir. 2017)</w:t>
        </w:r>
      </w:hyperlink>
      <w:r>
        <w:rPr>
          <w:rFonts w:ascii="arial" w:eastAsia="arial" w:hAnsi="arial" w:cs="arial"/>
          <w:b w:val="0"/>
          <w:i w:val="0"/>
          <w:strike w:val="0"/>
          <w:noProof w:val="0"/>
          <w:color w:val="000000"/>
          <w:position w:val="0"/>
          <w:sz w:val="18"/>
          <w:u w:val="none"/>
          <w:vertAlign w:val="baseline"/>
        </w:rPr>
        <w:t>).</w:t>
      </w:r>
    </w:p>
  </w:footnote>
  <w:footnote w:id="21">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20 </w:t>
      </w:r>
      <w:bookmarkStart w:id="75" w:name="Bookmark_fnpara_20"/>
      <w:bookmarkEnd w:id="75"/>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(quoting </w:t>
      </w:r>
      <w:bookmarkStart w:id="76" w:name="Bookmark_I6820TTY2SF81T0020000400"/>
      <w:bookmarkEnd w:id="76"/>
      <w:hyperlink r:id="rId24" w:history="1">
        <w:r>
          <w:rPr>
            <w:rFonts w:ascii="arial" w:eastAsia="arial" w:hAnsi="arial" w:cs="arial"/>
            <w:b w:val="0"/>
            <w:i/>
            <w:strike w:val="0"/>
            <w:noProof w:val="0"/>
            <w:color w:val="0077CC"/>
            <w:position w:val="0"/>
            <w:sz w:val="18"/>
            <w:u w:val="single"/>
            <w:vertAlign w:val="baseline"/>
          </w:rPr>
          <w:t>Harrington v. Richter</w:t>
        </w:r>
      </w:hyperlink>
      <w:hyperlink r:id="rId24" w:history="1">
        <w:r>
          <w:rPr>
            <w:rFonts w:ascii="arial" w:eastAsia="arial" w:hAnsi="arial" w:cs="arial"/>
            <w:b w:val="0"/>
            <w:i/>
            <w:strike w:val="0"/>
            <w:noProof w:val="0"/>
            <w:color w:val="0077CC"/>
            <w:position w:val="0"/>
            <w:sz w:val="18"/>
            <w:u w:val="single"/>
            <w:vertAlign w:val="baseline"/>
          </w:rPr>
          <w:t>, 562 U.S. 86, 104, 131 S. Ct. 770, 178 L. Ed. 2d 624 (2011)</w:t>
        </w:r>
      </w:hyperlink>
      <w:r>
        <w:rPr>
          <w:rFonts w:ascii="arial" w:eastAsia="arial" w:hAnsi="arial" w:cs="arial"/>
          <w:b w:val="0"/>
          <w:i w:val="0"/>
          <w:strike w:val="0"/>
          <w:noProof w:val="0"/>
          <w:color w:val="000000"/>
          <w:position w:val="0"/>
          <w:sz w:val="18"/>
          <w:u w:val="none"/>
          <w:vertAlign w:val="baseline"/>
        </w:rPr>
        <w:t>).</w:t>
      </w:r>
    </w:p>
  </w:footnote>
  <w:footnote w:id="22">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21 </w:t>
      </w:r>
      <w:bookmarkStart w:id="81" w:name="Bookmark_fnpara_21"/>
      <w:bookmarkEnd w:id="81"/>
      <w:bookmarkStart w:id="82" w:name="Bookmark_I6820TTY2SF81T0040000400"/>
      <w:bookmarkEnd w:id="82"/>
      <w:hyperlink r:id="rId25" w:history="1">
        <w:r>
          <w:rPr>
            <w:rFonts w:ascii="arial" w:eastAsia="arial" w:hAnsi="arial" w:cs="arial"/>
            <w:b w:val="0"/>
            <w:i/>
            <w:strike w:val="0"/>
            <w:noProof w:val="0"/>
            <w:color w:val="0077CC"/>
            <w:position w:val="0"/>
            <w:sz w:val="18"/>
            <w:u w:val="single"/>
            <w:vertAlign w:val="baseline"/>
          </w:rPr>
          <w:t>United States v. Wines</w:t>
        </w:r>
      </w:hyperlink>
      <w:hyperlink r:id="rId25" w:history="1">
        <w:r>
          <w:rPr>
            <w:rFonts w:ascii="arial" w:eastAsia="arial" w:hAnsi="arial" w:cs="arial"/>
            <w:b w:val="0"/>
            <w:i/>
            <w:strike w:val="0"/>
            <w:noProof w:val="0"/>
            <w:color w:val="0077CC"/>
            <w:position w:val="0"/>
            <w:sz w:val="18"/>
            <w:u w:val="single"/>
            <w:vertAlign w:val="baseline"/>
          </w:rPr>
          <w:t>, 691 F.3d 599, 606 (5th Cir. 2012)</w:t>
        </w:r>
      </w:hyperlink>
      <w:r>
        <w:rPr>
          <w:rFonts w:ascii="arial" w:eastAsia="arial" w:hAnsi="arial" w:cs="arial"/>
          <w:b w:val="0"/>
          <w:i w:val="0"/>
          <w:strike w:val="0"/>
          <w:noProof w:val="0"/>
          <w:color w:val="000000"/>
          <w:position w:val="0"/>
          <w:sz w:val="18"/>
          <w:u w:val="none"/>
          <w:vertAlign w:val="baseline"/>
        </w:rPr>
        <w:t xml:space="preserve"> (citing </w:t>
      </w:r>
      <w:bookmarkStart w:id="83" w:name="Bookmark_I6820TV02HM6B00010000400"/>
      <w:bookmarkEnd w:id="83"/>
      <w:hyperlink r:id="rId17" w:history="1">
        <w:r>
          <w:rPr>
            <w:rFonts w:ascii="arial" w:eastAsia="arial" w:hAnsi="arial" w:cs="arial"/>
            <w:b w:val="0"/>
            <w:i/>
            <w:strike w:val="0"/>
            <w:noProof w:val="0"/>
            <w:color w:val="0077CC"/>
            <w:position w:val="0"/>
            <w:sz w:val="18"/>
            <w:u w:val="single"/>
            <w:vertAlign w:val="baseline"/>
          </w:rPr>
          <w:t>Strickland</w:t>
        </w:r>
      </w:hyperlink>
      <w:hyperlink r:id="rId17" w:history="1">
        <w:r>
          <w:rPr>
            <w:rFonts w:ascii="arial" w:eastAsia="arial" w:hAnsi="arial" w:cs="arial"/>
            <w:b w:val="0"/>
            <w:i/>
            <w:strike w:val="0"/>
            <w:noProof w:val="0"/>
            <w:color w:val="0077CC"/>
            <w:position w:val="0"/>
            <w:sz w:val="18"/>
            <w:u w:val="single"/>
            <w:vertAlign w:val="baseline"/>
          </w:rPr>
          <w:t>, 466 U.S. at 687</w:t>
        </w:r>
      </w:hyperlink>
      <w:r>
        <w:rPr>
          <w:rFonts w:ascii="arial" w:eastAsia="arial" w:hAnsi="arial" w:cs="arial"/>
          <w:b w:val="0"/>
          <w:i w:val="0"/>
          <w:strike w:val="0"/>
          <w:noProof w:val="0"/>
          <w:color w:val="000000"/>
          <w:position w:val="0"/>
          <w:sz w:val="18"/>
          <w:u w:val="none"/>
          <w:vertAlign w:val="baseline"/>
        </w:rPr>
        <w:t>).</w:t>
      </w:r>
    </w:p>
  </w:footnote>
  <w:footnote w:id="23">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22 </w:t>
      </w:r>
      <w:bookmarkStart w:id="84" w:name="Bookmark_fnpara_22"/>
      <w:bookmarkEnd w:id="84"/>
      <w:bookmarkStart w:id="85" w:name="Bookmark_I6820TV02HM6B00030000400"/>
      <w:bookmarkEnd w:id="85"/>
      <w:hyperlink r:id="rId26" w:history="1">
        <w:r>
          <w:rPr>
            <w:rFonts w:ascii="arial" w:eastAsia="arial" w:hAnsi="arial" w:cs="arial"/>
            <w:b w:val="0"/>
            <w:i/>
            <w:strike w:val="0"/>
            <w:noProof w:val="0"/>
            <w:color w:val="0077CC"/>
            <w:position w:val="0"/>
            <w:sz w:val="18"/>
            <w:u w:val="single"/>
            <w:vertAlign w:val="baseline"/>
          </w:rPr>
          <w:t>United States v. Lagos</w:t>
        </w:r>
      </w:hyperlink>
      <w:hyperlink r:id="rId26" w:history="1">
        <w:r>
          <w:rPr>
            <w:rFonts w:ascii="arial" w:eastAsia="arial" w:hAnsi="arial" w:cs="arial"/>
            <w:b w:val="0"/>
            <w:i/>
            <w:strike w:val="0"/>
            <w:noProof w:val="0"/>
            <w:color w:val="0077CC"/>
            <w:position w:val="0"/>
            <w:sz w:val="18"/>
            <w:u w:val="single"/>
            <w:vertAlign w:val="baseline"/>
          </w:rPr>
          <w:t>, 25 F.4th 329, 335-36 (5th Cir. 2022)</w:t>
        </w:r>
      </w:hyperlink>
      <w:r>
        <w:rPr>
          <w:rFonts w:ascii="arial" w:eastAsia="arial" w:hAnsi="arial" w:cs="arial"/>
          <w:b w:val="0"/>
          <w:i w:val="0"/>
          <w:strike w:val="0"/>
          <w:noProof w:val="0"/>
          <w:color w:val="000000"/>
          <w:position w:val="0"/>
          <w:sz w:val="18"/>
          <w:u w:val="none"/>
          <w:vertAlign w:val="baseline"/>
        </w:rPr>
        <w:t xml:space="preserve"> (internal citation omitted).</w:t>
      </w:r>
    </w:p>
  </w:footnote>
  <w:footnote w:id="24">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23 </w:t>
      </w:r>
      <w:bookmarkStart w:id="86" w:name="Bookmark_fnpara_23"/>
      <w:bookmarkEnd w:id="86"/>
      <w:bookmarkStart w:id="87" w:name="Bookmark_I6820TV02HM6B00050000400"/>
      <w:bookmarkEnd w:id="87"/>
      <w:hyperlink r:id="rId25" w:history="1">
        <w:r>
          <w:rPr>
            <w:rFonts w:ascii="arial" w:eastAsia="arial" w:hAnsi="arial" w:cs="arial"/>
            <w:b w:val="0"/>
            <w:i/>
            <w:strike w:val="0"/>
            <w:noProof w:val="0"/>
            <w:color w:val="0077CC"/>
            <w:position w:val="0"/>
            <w:sz w:val="18"/>
            <w:u w:val="single"/>
            <w:vertAlign w:val="baseline"/>
          </w:rPr>
          <w:t>Wines</w:t>
        </w:r>
      </w:hyperlink>
      <w:hyperlink r:id="rId25" w:history="1">
        <w:r>
          <w:rPr>
            <w:rFonts w:ascii="arial" w:eastAsia="arial" w:hAnsi="arial" w:cs="arial"/>
            <w:b w:val="0"/>
            <w:i/>
            <w:strike w:val="0"/>
            <w:noProof w:val="0"/>
            <w:color w:val="0077CC"/>
            <w:position w:val="0"/>
            <w:sz w:val="18"/>
            <w:u w:val="single"/>
            <w:vertAlign w:val="baseline"/>
          </w:rPr>
          <w:t>, 691 F.3d at 604</w:t>
        </w:r>
      </w:hyperlink>
      <w:r>
        <w:rPr>
          <w:rFonts w:ascii="arial" w:eastAsia="arial" w:hAnsi="arial" w:cs="arial"/>
          <w:b w:val="0"/>
          <w:i w:val="0"/>
          <w:strike w:val="0"/>
          <w:noProof w:val="0"/>
          <w:color w:val="000000"/>
          <w:position w:val="0"/>
          <w:sz w:val="18"/>
          <w:u w:val="none"/>
          <w:vertAlign w:val="baseline"/>
        </w:rPr>
        <w:t>.</w:t>
      </w:r>
    </w:p>
  </w:footnote>
  <w:footnote w:id="25">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24 </w:t>
      </w:r>
      <w:bookmarkStart w:id="90" w:name="Bookmark_fnpara_24"/>
      <w:bookmarkEnd w:id="90"/>
      <w:r>
        <w:rPr>
          <w:rFonts w:ascii="arial" w:eastAsia="arial" w:hAnsi="arial" w:cs="arial"/>
          <w:b w:val="0"/>
          <w:i w:val="0"/>
          <w:strike w:val="0"/>
          <w:noProof w:val="0"/>
          <w:color w:val="000000"/>
          <w:position w:val="0"/>
          <w:sz w:val="18"/>
          <w:u w:val="none"/>
          <w:vertAlign w:val="baseline"/>
        </w:rPr>
        <w:t>(Doc. 74 at 5).</w:t>
      </w:r>
    </w:p>
  </w:footnote>
  <w:footnote w:id="26">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25 </w:t>
      </w:r>
      <w:bookmarkStart w:id="97" w:name="Bookmark_fnpara_25"/>
      <w:bookmarkEnd w:id="97"/>
      <w:r>
        <w:rPr>
          <w:rFonts w:ascii="arial" w:eastAsia="arial" w:hAnsi="arial" w:cs="arial"/>
          <w:b w:val="0"/>
          <w:i w:val="0"/>
          <w:strike w:val="0"/>
          <w:noProof w:val="0"/>
          <w:color w:val="000000"/>
          <w:position w:val="0"/>
          <w:sz w:val="18"/>
          <w:u w:val="none"/>
          <w:vertAlign w:val="baseline"/>
        </w:rPr>
        <w:t>(Doc. 79 at 17:8-15).</w:t>
      </w:r>
    </w:p>
  </w:footnote>
  <w:footnote w:id="27">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26 </w:t>
      </w:r>
      <w:bookmarkStart w:id="99" w:name="Bookmark_fnpara_26"/>
      <w:bookmarkEnd w:id="99"/>
      <w:r>
        <w:rPr>
          <w:rFonts w:ascii="arial" w:eastAsia="arial" w:hAnsi="arial" w:cs="arial"/>
          <w:b w:val="0"/>
          <w:i w:val="0"/>
          <w:strike w:val="0"/>
          <w:noProof w:val="0"/>
          <w:color w:val="000000"/>
          <w:position w:val="0"/>
          <w:sz w:val="18"/>
          <w:u w:val="none"/>
          <w:vertAlign w:val="baseline"/>
        </w:rPr>
        <w:t>(</w:t>
      </w:r>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at 17-18).</w:t>
      </w:r>
    </w:p>
  </w:footnote>
  <w:footnote w:id="28">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27 </w:t>
      </w:r>
      <w:bookmarkStart w:id="102" w:name="Bookmark_fnpara_27"/>
      <w:bookmarkEnd w:id="102"/>
      <w:r>
        <w:rPr>
          <w:rFonts w:ascii="arial" w:eastAsia="arial" w:hAnsi="arial" w:cs="arial"/>
          <w:b w:val="0"/>
          <w:i/>
          <w:strike w:val="0"/>
          <w:noProof w:val="0"/>
          <w:color w:val="000000"/>
          <w:position w:val="0"/>
          <w:sz w:val="18"/>
          <w:u w:val="none"/>
          <w:vertAlign w:val="baseline"/>
        </w:rPr>
        <w:t xml:space="preserve">Accord </w:t>
      </w:r>
      <w:bookmarkStart w:id="103" w:name="Bookmark_I6820TV02D6NBP0040000400"/>
      <w:bookmarkEnd w:id="103"/>
      <w:hyperlink r:id="rId27" w:history="1">
        <w:r>
          <w:rPr>
            <w:rFonts w:ascii="arial" w:eastAsia="arial" w:hAnsi="arial" w:cs="arial"/>
            <w:b w:val="0"/>
            <w:i/>
            <w:strike w:val="0"/>
            <w:noProof w:val="0"/>
            <w:color w:val="0077CC"/>
            <w:position w:val="0"/>
            <w:sz w:val="18"/>
            <w:u w:val="single"/>
            <w:vertAlign w:val="baseline"/>
          </w:rPr>
          <w:t>Trevino-Vasquez v. United States</w:t>
        </w:r>
      </w:hyperlink>
      <w:hyperlink r:id="rId27" w:history="1">
        <w:r>
          <w:rPr>
            <w:rFonts w:ascii="arial" w:eastAsia="arial" w:hAnsi="arial" w:cs="arial"/>
            <w:b w:val="0"/>
            <w:i/>
            <w:strike w:val="0"/>
            <w:noProof w:val="0"/>
            <w:color w:val="0077CC"/>
            <w:position w:val="0"/>
            <w:sz w:val="18"/>
            <w:u w:val="single"/>
            <w:vertAlign w:val="baseline"/>
          </w:rPr>
          <w:t>, Nos. 7:11-CV-270, 7:09-CR-04-1, 2015 U.S. Dist. LEXIS 194445, 2015 WL 13546109, at *6 (S.D. Tex. Jan. 9, 2015)</w:t>
        </w:r>
      </w:hyperlink>
      <w:r>
        <w:rPr>
          <w:rFonts w:ascii="arial" w:eastAsia="arial" w:hAnsi="arial" w:cs="arial"/>
          <w:b w:val="0"/>
          <w:i w:val="0"/>
          <w:strike w:val="0"/>
          <w:noProof w:val="0"/>
          <w:color w:val="000000"/>
          <w:position w:val="0"/>
          <w:sz w:val="18"/>
          <w:u w:val="none"/>
          <w:vertAlign w:val="baseline"/>
        </w:rPr>
        <w:t xml:space="preserve"> (denying ineffective assistance claim because "the Court fully informed Movant of his rights . . . at his re-arraignment").</w:t>
      </w:r>
    </w:p>
  </w:footnote>
  <w:footnote w:id="29">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28 </w:t>
      </w:r>
      <w:bookmarkStart w:id="105" w:name="Bookmark_fnpara_28"/>
      <w:bookmarkEnd w:id="105"/>
      <w:r>
        <w:rPr>
          <w:rFonts w:ascii="arial" w:eastAsia="arial" w:hAnsi="arial" w:cs="arial"/>
          <w:b w:val="0"/>
          <w:i w:val="0"/>
          <w:strike w:val="0"/>
          <w:noProof w:val="0"/>
          <w:color w:val="000000"/>
          <w:position w:val="0"/>
          <w:sz w:val="18"/>
          <w:u w:val="none"/>
          <w:vertAlign w:val="baseline"/>
        </w:rPr>
        <w:t>(Doc. 74 at 6).</w:t>
      </w:r>
    </w:p>
  </w:footnote>
  <w:footnote w:id="30">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29 </w:t>
      </w:r>
      <w:bookmarkStart w:id="109" w:name="Bookmark_fnpara_29"/>
      <w:bookmarkEnd w:id="109"/>
      <w:r>
        <w:rPr>
          <w:rFonts w:ascii="arial" w:eastAsia="arial" w:hAnsi="arial" w:cs="arial"/>
          <w:b w:val="0"/>
          <w:i w:val="0"/>
          <w:strike w:val="0"/>
          <w:noProof w:val="0"/>
          <w:color w:val="000000"/>
          <w:position w:val="0"/>
          <w:sz w:val="18"/>
          <w:u w:val="none"/>
          <w:vertAlign w:val="baseline"/>
        </w:rPr>
        <w:t>(Doc. 55 at 2).</w:t>
      </w:r>
    </w:p>
  </w:footnote>
  <w:footnote w:id="31">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30 </w:t>
      </w:r>
      <w:bookmarkStart w:id="110" w:name="Bookmark_fnpara_30"/>
      <w:bookmarkEnd w:id="110"/>
      <w:r>
        <w:rPr>
          <w:rFonts w:ascii="arial" w:eastAsia="arial" w:hAnsi="arial" w:cs="arial"/>
          <w:b w:val="0"/>
          <w:i w:val="0"/>
          <w:strike w:val="0"/>
          <w:noProof w:val="0"/>
          <w:color w:val="000000"/>
          <w:position w:val="0"/>
          <w:sz w:val="18"/>
          <w:u w:val="none"/>
          <w:vertAlign w:val="baseline"/>
        </w:rPr>
        <w:t xml:space="preserve">(Doc. 79 at 21); </w:t>
      </w:r>
      <w:r>
        <w:rPr>
          <w:rFonts w:ascii="arial" w:eastAsia="arial" w:hAnsi="arial" w:cs="arial"/>
          <w:b w:val="0"/>
          <w:i/>
          <w:strike w:val="0"/>
          <w:noProof w:val="0"/>
          <w:color w:val="000000"/>
          <w:position w:val="0"/>
          <w:sz w:val="18"/>
          <w:u w:val="none"/>
          <w:vertAlign w:val="baseline"/>
        </w:rPr>
        <w:t xml:space="preserve">see </w:t>
      </w:r>
      <w:bookmarkStart w:id="111" w:name="Bookmark_I6820TV02SF8200010000400"/>
      <w:bookmarkEnd w:id="111"/>
      <w:hyperlink r:id="rId28" w:history="1">
        <w:r>
          <w:rPr>
            <w:rFonts w:ascii="arial" w:eastAsia="arial" w:hAnsi="arial" w:cs="arial"/>
            <w:b w:val="0"/>
            <w:i/>
            <w:strike w:val="0"/>
            <w:noProof w:val="0"/>
            <w:color w:val="0077CC"/>
            <w:position w:val="0"/>
            <w:sz w:val="18"/>
            <w:u w:val="single"/>
            <w:vertAlign w:val="baseline"/>
          </w:rPr>
          <w:t>United States v. Calderon</w:t>
        </w:r>
      </w:hyperlink>
      <w:hyperlink r:id="rId28" w:history="1">
        <w:r>
          <w:rPr>
            <w:rFonts w:ascii="arial" w:eastAsia="arial" w:hAnsi="arial" w:cs="arial"/>
            <w:b w:val="0"/>
            <w:i/>
            <w:strike w:val="0"/>
            <w:noProof w:val="0"/>
            <w:color w:val="0077CC"/>
            <w:position w:val="0"/>
            <w:sz w:val="18"/>
            <w:u w:val="single"/>
            <w:vertAlign w:val="baseline"/>
          </w:rPr>
          <w:t>, 665 F. App'x 356, 362 (5th Cir. 2016)</w:t>
        </w:r>
      </w:hyperlink>
      <w:r>
        <w:rPr>
          <w:rFonts w:ascii="arial" w:eastAsia="arial" w:hAnsi="arial" w:cs="arial"/>
          <w:b w:val="0"/>
          <w:i w:val="0"/>
          <w:strike w:val="0"/>
          <w:noProof w:val="0"/>
          <w:color w:val="000000"/>
          <w:position w:val="0"/>
          <w:sz w:val="18"/>
          <w:u w:val="none"/>
          <w:vertAlign w:val="baseline"/>
        </w:rPr>
        <w:t xml:space="preserve"> (unpublished); </w:t>
      </w:r>
      <w:bookmarkStart w:id="112" w:name="Bookmark_I6820TV02SF8200030000400"/>
      <w:bookmarkEnd w:id="112"/>
      <w:hyperlink r:id="rId29" w:history="1">
        <w:r>
          <w:rPr>
            <w:rFonts w:ascii="arial" w:eastAsia="arial" w:hAnsi="arial" w:cs="arial"/>
            <w:b w:val="0"/>
            <w:i/>
            <w:strike w:val="0"/>
            <w:noProof w:val="0"/>
            <w:color w:val="0077CC"/>
            <w:position w:val="0"/>
            <w:sz w:val="18"/>
            <w:u w:val="single"/>
            <w:vertAlign w:val="baseline"/>
          </w:rPr>
          <w:t>United States v. Morrison</w:t>
        </w:r>
      </w:hyperlink>
      <w:hyperlink r:id="rId29" w:history="1">
        <w:r>
          <w:rPr>
            <w:rFonts w:ascii="arial" w:eastAsia="arial" w:hAnsi="arial" w:cs="arial"/>
            <w:b w:val="0"/>
            <w:i/>
            <w:strike w:val="0"/>
            <w:noProof w:val="0"/>
            <w:color w:val="0077CC"/>
            <w:position w:val="0"/>
            <w:sz w:val="18"/>
            <w:u w:val="single"/>
            <w:vertAlign w:val="baseline"/>
          </w:rPr>
          <w:t>, Nos. MO-10-CR-135(1), MO-14-CV-071, 2016 U.S. Dist. LEXIS 186480, 2016 WL 5886697, at *35 (W.D. Tex. Aug. 10, 2016)</w:t>
        </w:r>
      </w:hyperlink>
      <w:r>
        <w:rPr>
          <w:rFonts w:ascii="arial" w:eastAsia="arial" w:hAnsi="arial" w:cs="arial"/>
          <w:b w:val="0"/>
          <w:i w:val="0"/>
          <w:strike w:val="0"/>
          <w:noProof w:val="0"/>
          <w:color w:val="000000"/>
          <w:position w:val="0"/>
          <w:sz w:val="18"/>
          <w:u w:val="none"/>
          <w:vertAlign w:val="baseline"/>
        </w:rPr>
        <w:t>.</w:t>
      </w:r>
    </w:p>
  </w:footnote>
  <w:footnote w:id="32">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31 </w:t>
      </w:r>
      <w:bookmarkStart w:id="113" w:name="Bookmark_fnpara_31"/>
      <w:bookmarkEnd w:id="113"/>
      <w:r>
        <w:rPr>
          <w:rFonts w:ascii="arial" w:eastAsia="arial" w:hAnsi="arial" w:cs="arial"/>
          <w:b w:val="0"/>
          <w:i/>
          <w:strike w:val="0"/>
          <w:noProof w:val="0"/>
          <w:color w:val="000000"/>
          <w:position w:val="0"/>
          <w:sz w:val="18"/>
          <w:u w:val="none"/>
          <w:vertAlign w:val="baseline"/>
        </w:rPr>
        <w:t xml:space="preserve">See </w:t>
      </w:r>
      <w:bookmarkStart w:id="114" w:name="Bookmark_I6820TV02SF8200050000400"/>
      <w:bookmarkEnd w:id="114"/>
      <w:hyperlink r:id="rId30" w:history="1">
        <w:r>
          <w:rPr>
            <w:rFonts w:ascii="arial" w:eastAsia="arial" w:hAnsi="arial" w:cs="arial"/>
            <w:b w:val="0"/>
            <w:i/>
            <w:strike w:val="0"/>
            <w:noProof w:val="0"/>
            <w:color w:val="0077CC"/>
            <w:position w:val="0"/>
            <w:sz w:val="18"/>
            <w:u w:val="single"/>
            <w:vertAlign w:val="baseline"/>
          </w:rPr>
          <w:t>United States v. Hunte</w:t>
        </w:r>
      </w:hyperlink>
      <w:hyperlink r:id="rId30" w:history="1">
        <w:r>
          <w:rPr>
            <w:rFonts w:ascii="arial" w:eastAsia="arial" w:hAnsi="arial" w:cs="arial"/>
            <w:b w:val="0"/>
            <w:i/>
            <w:strike w:val="0"/>
            <w:noProof w:val="0"/>
            <w:color w:val="0077CC"/>
            <w:position w:val="0"/>
            <w:sz w:val="18"/>
            <w:u w:val="single"/>
            <w:vertAlign w:val="baseline"/>
          </w:rPr>
          <w:t>, 196 F.3d 687, 692 (7th Cir. 1999)</w:t>
        </w:r>
      </w:hyperlink>
      <w:r>
        <w:rPr>
          <w:rFonts w:ascii="arial" w:eastAsia="arial" w:hAnsi="arial" w:cs="arial"/>
          <w:b w:val="0"/>
          <w:i w:val="0"/>
          <w:strike w:val="0"/>
          <w:noProof w:val="0"/>
          <w:color w:val="000000"/>
          <w:position w:val="0"/>
          <w:sz w:val="18"/>
          <w:u w:val="none"/>
          <w:vertAlign w:val="baseline"/>
        </w:rPr>
        <w:t>.</w:t>
      </w:r>
    </w:p>
  </w:footnote>
  <w:footnote w:id="33">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32 </w:t>
      </w:r>
      <w:bookmarkStart w:id="115" w:name="Bookmark_fnpara_32"/>
      <w:bookmarkEnd w:id="115"/>
      <w:r>
        <w:rPr>
          <w:rFonts w:ascii="arial" w:eastAsia="arial" w:hAnsi="arial" w:cs="arial"/>
          <w:b w:val="0"/>
          <w:i w:val="0"/>
          <w:strike w:val="0"/>
          <w:noProof w:val="0"/>
          <w:color w:val="000000"/>
          <w:position w:val="0"/>
          <w:sz w:val="18"/>
          <w:u w:val="none"/>
          <w:vertAlign w:val="baseline"/>
        </w:rPr>
        <w:t>(Doc. 63-1 at 2 ("[T]he [other smugglers] were recruited and acted under the direction of [Defendant].")).</w:t>
      </w:r>
    </w:p>
  </w:footnote>
  <w:footnote w:id="34">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33 </w:t>
      </w:r>
      <w:bookmarkStart w:id="118" w:name="Bookmark_fnpara_33"/>
      <w:bookmarkEnd w:id="118"/>
      <w:r>
        <w:rPr>
          <w:rFonts w:ascii="arial" w:eastAsia="arial" w:hAnsi="arial" w:cs="arial"/>
          <w:b w:val="0"/>
          <w:i w:val="0"/>
          <w:strike w:val="0"/>
          <w:noProof w:val="0"/>
          <w:color w:val="000000"/>
          <w:position w:val="0"/>
          <w:sz w:val="18"/>
          <w:u w:val="none"/>
          <w:vertAlign w:val="baseline"/>
        </w:rPr>
        <w:t>(Doc. 74 at 8).</w:t>
      </w:r>
    </w:p>
  </w:footnote>
  <w:footnote w:id="35">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34 </w:t>
      </w:r>
      <w:bookmarkStart w:id="120" w:name="Bookmark_fnpara_34"/>
      <w:bookmarkEnd w:id="120"/>
      <w:r>
        <w:rPr>
          <w:rFonts w:ascii="arial" w:eastAsia="arial" w:hAnsi="arial" w:cs="arial"/>
          <w:b w:val="0"/>
          <w:i w:val="0"/>
          <w:strike w:val="0"/>
          <w:noProof w:val="0"/>
          <w:color w:val="000000"/>
          <w:position w:val="0"/>
          <w:sz w:val="18"/>
          <w:u w:val="none"/>
          <w:vertAlign w:val="baseline"/>
        </w:rPr>
        <w:t>(Doc. 55 at 1-2).</w:t>
      </w:r>
    </w:p>
  </w:footnote>
  <w:footnote w:id="36">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35 </w:t>
      </w:r>
      <w:bookmarkStart w:id="124" w:name="Bookmark_fnpara_35"/>
      <w:bookmarkEnd w:id="124"/>
      <w:r>
        <w:rPr>
          <w:rFonts w:ascii="arial" w:eastAsia="arial" w:hAnsi="arial" w:cs="arial"/>
          <w:b w:val="0"/>
          <w:i w:val="0"/>
          <w:strike w:val="0"/>
          <w:noProof w:val="0"/>
          <w:color w:val="000000"/>
          <w:position w:val="0"/>
          <w:sz w:val="18"/>
          <w:u w:val="none"/>
          <w:vertAlign w:val="baseline"/>
        </w:rPr>
        <w:t>(Doc. 55 at 1-3).</w:t>
      </w:r>
    </w:p>
  </w:footnote>
  <w:footnote w:id="37">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36 </w:t>
      </w:r>
      <w:bookmarkStart w:id="126" w:name="Bookmark_fnpara_36"/>
      <w:bookmarkEnd w:id="126"/>
      <w:r>
        <w:rPr>
          <w:rFonts w:ascii="arial" w:eastAsia="arial" w:hAnsi="arial" w:cs="arial"/>
          <w:b w:val="0"/>
          <w:i w:val="0"/>
          <w:strike w:val="0"/>
          <w:noProof w:val="0"/>
          <w:color w:val="000000"/>
          <w:position w:val="0"/>
          <w:sz w:val="18"/>
          <w:u w:val="none"/>
          <w:vertAlign w:val="baseline"/>
        </w:rPr>
        <w:t>(Doc. 63 at 5).</w:t>
      </w:r>
    </w:p>
  </w:footnote>
  <w:footnote w:id="38">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37 </w:t>
      </w:r>
      <w:bookmarkStart w:id="127" w:name="Bookmark_fnpara_37"/>
      <w:bookmarkEnd w:id="127"/>
      <w:r>
        <w:rPr>
          <w:rFonts w:ascii="arial" w:eastAsia="arial" w:hAnsi="arial" w:cs="arial"/>
          <w:b w:val="0"/>
          <w:i w:val="0"/>
          <w:strike w:val="0"/>
          <w:noProof w:val="0"/>
          <w:color w:val="000000"/>
          <w:position w:val="0"/>
          <w:sz w:val="18"/>
          <w:u w:val="none"/>
          <w:vertAlign w:val="baseline"/>
        </w:rPr>
        <w:t>(Doc. 55).</w:t>
      </w:r>
    </w:p>
  </w:footnote>
  <w:footnote w:id="39">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38 </w:t>
      </w:r>
      <w:bookmarkStart w:id="128" w:name="Bookmark_fnpara_38"/>
      <w:bookmarkEnd w:id="128"/>
      <w:r>
        <w:rPr>
          <w:rFonts w:ascii="arial" w:eastAsia="arial" w:hAnsi="arial" w:cs="arial"/>
          <w:b w:val="0"/>
          <w:i w:val="0"/>
          <w:strike w:val="0"/>
          <w:noProof w:val="0"/>
          <w:color w:val="000000"/>
          <w:position w:val="0"/>
          <w:sz w:val="18"/>
          <w:u w:val="none"/>
          <w:vertAlign w:val="baseline"/>
        </w:rPr>
        <w:t>(Doc. 79 at 21).</w:t>
      </w:r>
    </w:p>
  </w:footnote>
  <w:footnote w:id="40">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39 </w:t>
      </w:r>
      <w:bookmarkStart w:id="130" w:name="Bookmark_fnpara_39"/>
      <w:bookmarkEnd w:id="130"/>
      <w:hyperlink r:id="rId31" w:history="1">
        <w:r>
          <w:rPr>
            <w:rFonts w:ascii="arial" w:eastAsia="arial" w:hAnsi="arial" w:cs="arial"/>
            <w:b w:val="0"/>
            <w:i/>
            <w:strike w:val="0"/>
            <w:noProof w:val="0"/>
            <w:color w:val="0077CC"/>
            <w:position w:val="0"/>
            <w:sz w:val="18"/>
            <w:u w:val="single"/>
            <w:vertAlign w:val="baseline"/>
          </w:rPr>
          <w:t>U.S. Sent'g Guidelines Manual § 2L1.1(b)(2)</w:t>
        </w:r>
      </w:hyperlink>
      <w:r>
        <w:rPr>
          <w:rFonts w:ascii="arial" w:eastAsia="arial" w:hAnsi="arial" w:cs="arial"/>
          <w:b w:val="0"/>
          <w:i w:val="0"/>
          <w:strike w:val="0"/>
          <w:noProof w:val="0"/>
          <w:color w:val="000000"/>
          <w:position w:val="0"/>
          <w:sz w:val="18"/>
          <w:u w:val="none"/>
          <w:vertAlign w:val="baseline"/>
        </w:rPr>
        <w:t xml:space="preserve"> (U.S. Sent'g Comm'n 2018) (increasing offense level by three for violations involving anywhere from six to twenty-four illegals).</w:t>
      </w:r>
    </w:p>
  </w:footnote>
  <w:footnote w:id="41">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40 </w:t>
      </w:r>
      <w:bookmarkStart w:id="133" w:name="Bookmark_fnpara_40"/>
      <w:bookmarkEnd w:id="133"/>
      <w:r>
        <w:rPr>
          <w:rFonts w:ascii="arial" w:eastAsia="arial" w:hAnsi="arial" w:cs="arial"/>
          <w:b w:val="0"/>
          <w:i w:val="0"/>
          <w:strike w:val="0"/>
          <w:noProof w:val="0"/>
          <w:color w:val="000000"/>
          <w:position w:val="0"/>
          <w:sz w:val="18"/>
          <w:u w:val="none"/>
          <w:vertAlign w:val="baseline"/>
        </w:rPr>
        <w:t>(Doc. 74 at 13).</w:t>
      </w:r>
    </w:p>
  </w:footnote>
  <w:footnote w:id="4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41 </w:t>
      </w:r>
      <w:bookmarkStart w:id="134" w:name="Bookmark_fnpara_41"/>
      <w:bookmarkEnd w:id="134"/>
      <w:r>
        <w:rPr>
          <w:rFonts w:ascii="arial" w:eastAsia="arial" w:hAnsi="arial" w:cs="arial"/>
          <w:b w:val="0"/>
          <w:i w:val="0"/>
          <w:strike w:val="0"/>
          <w:noProof w:val="0"/>
          <w:color w:val="000000"/>
          <w:position w:val="0"/>
          <w:sz w:val="18"/>
          <w:u w:val="none"/>
          <w:vertAlign w:val="baseline"/>
        </w:rPr>
        <w:t>(Doc. 79 at 9, 10, 11).</w:t>
      </w:r>
    </w:p>
  </w:footnote>
  <w:footnote w:id="43">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42 </w:t>
      </w:r>
      <w:bookmarkStart w:id="135" w:name="Bookmark_fnpara_42"/>
      <w:bookmarkEnd w:id="135"/>
      <w:r>
        <w:rPr>
          <w:rFonts w:ascii="arial" w:eastAsia="arial" w:hAnsi="arial" w:cs="arial"/>
          <w:b w:val="0"/>
          <w:i w:val="0"/>
          <w:strike w:val="0"/>
          <w:noProof w:val="0"/>
          <w:color w:val="000000"/>
          <w:position w:val="0"/>
          <w:sz w:val="18"/>
          <w:u w:val="none"/>
          <w:vertAlign w:val="baseline"/>
        </w:rPr>
        <w:t>(Doc. 80-1 at 2).</w:t>
      </w:r>
    </w:p>
  </w:footnote>
  <w:footnote w:id="44">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43 </w:t>
      </w:r>
      <w:bookmarkStart w:id="140" w:name="Bookmark_fnpara_43"/>
      <w:bookmarkEnd w:id="140"/>
      <w:r>
        <w:rPr>
          <w:rFonts w:ascii="arial" w:eastAsia="arial" w:hAnsi="arial" w:cs="arial"/>
          <w:b w:val="0"/>
          <w:i/>
          <w:strike w:val="0"/>
          <w:noProof w:val="0"/>
          <w:color w:val="000000"/>
          <w:position w:val="0"/>
          <w:sz w:val="18"/>
          <w:u w:val="none"/>
          <w:vertAlign w:val="baseline"/>
        </w:rPr>
        <w:t xml:space="preserve">See </w:t>
      </w:r>
      <w:bookmarkStart w:id="141" w:name="Bookmark_I6820TV028T4G60020000400"/>
      <w:bookmarkEnd w:id="141"/>
      <w:hyperlink r:id="rId32" w:history="1">
        <w:r>
          <w:rPr>
            <w:rFonts w:ascii="arial" w:eastAsia="arial" w:hAnsi="arial" w:cs="arial"/>
            <w:b w:val="0"/>
            <w:i/>
            <w:strike w:val="0"/>
            <w:noProof w:val="0"/>
            <w:color w:val="0077CC"/>
            <w:position w:val="0"/>
            <w:sz w:val="18"/>
            <w:u w:val="single"/>
            <w:vertAlign w:val="baseline"/>
          </w:rPr>
          <w:t>Perez v. Cockrell</w:t>
        </w:r>
      </w:hyperlink>
      <w:hyperlink r:id="rId32" w:history="1">
        <w:r>
          <w:rPr>
            <w:rFonts w:ascii="arial" w:eastAsia="arial" w:hAnsi="arial" w:cs="arial"/>
            <w:b w:val="0"/>
            <w:i/>
            <w:strike w:val="0"/>
            <w:noProof w:val="0"/>
            <w:color w:val="0077CC"/>
            <w:position w:val="0"/>
            <w:sz w:val="18"/>
            <w:u w:val="single"/>
            <w:vertAlign w:val="baseline"/>
          </w:rPr>
          <w:t>, 77 F. App'x 201, 203 (5th Cir. 2003)</w:t>
        </w:r>
      </w:hyperlink>
      <w:r>
        <w:rPr>
          <w:rFonts w:ascii="arial" w:eastAsia="arial" w:hAnsi="arial" w:cs="arial"/>
          <w:b w:val="0"/>
          <w:i w:val="0"/>
          <w:strike w:val="0"/>
          <w:noProof w:val="0"/>
          <w:color w:val="000000"/>
          <w:position w:val="0"/>
          <w:sz w:val="18"/>
          <w:u w:val="none"/>
          <w:vertAlign w:val="baseline"/>
        </w:rPr>
        <w:t xml:space="preserve"> (internal citations omitted).</w:t>
      </w:r>
    </w:p>
  </w:footnote>
  <w:footnote w:id="45">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44 </w:t>
      </w:r>
      <w:bookmarkStart w:id="142" w:name="Bookmark_fnpara_44"/>
      <w:bookmarkEnd w:id="142"/>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i/>
          <w:strike w:val="0"/>
          <w:noProof w:val="0"/>
          <w:color w:val="000000"/>
          <w:position w:val="0"/>
          <w:sz w:val="18"/>
          <w:u w:val="none"/>
          <w:vertAlign w:val="baseline"/>
        </w:rPr>
        <w:t>Fed. R. App. P. 22(b)</w:t>
      </w:r>
      <w:r>
        <w:rPr>
          <w:rFonts w:ascii="arial" w:eastAsia="arial" w:hAnsi="arial" w:cs="arial"/>
          <w:b w:val="0"/>
          <w:i w:val="0"/>
          <w:strike w:val="0"/>
          <w:noProof w:val="0"/>
          <w:color w:val="000000"/>
          <w:position w:val="0"/>
          <w:sz w:val="18"/>
          <w:u w:val="none"/>
          <w:vertAlign w:val="baseline"/>
        </w:rPr>
        <w:t xml:space="preserve">; </w:t>
      </w:r>
      <w:hyperlink r:id="rId33" w:history="1">
        <w:r>
          <w:rPr>
            <w:rFonts w:ascii="arial" w:eastAsia="arial" w:hAnsi="arial" w:cs="arial"/>
            <w:b w:val="0"/>
            <w:i/>
            <w:strike w:val="0"/>
            <w:noProof w:val="0"/>
            <w:color w:val="0077CC"/>
            <w:position w:val="0"/>
            <w:sz w:val="18"/>
            <w:u w:val="single"/>
            <w:vertAlign w:val="baseline"/>
          </w:rPr>
          <w:t>28 U.S.C. § 2253(c)(1)(A)</w:t>
        </w:r>
      </w:hyperlink>
      <w:r>
        <w:rPr>
          <w:rFonts w:ascii="arial" w:eastAsia="arial" w:hAnsi="arial" w:cs="arial"/>
          <w:b w:val="0"/>
          <w:i w:val="0"/>
          <w:strike w:val="0"/>
          <w:noProof w:val="0"/>
          <w:color w:val="000000"/>
          <w:position w:val="0"/>
          <w:sz w:val="18"/>
          <w:u w:val="none"/>
          <w:vertAlign w:val="baseline"/>
        </w:rPr>
        <w:t>.</w:t>
      </w:r>
    </w:p>
  </w:footnote>
  <w:footnote w:id="46">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45 </w:t>
      </w:r>
      <w:bookmarkStart w:id="143" w:name="Bookmark_fnpara_45"/>
      <w:bookmarkEnd w:id="143"/>
      <w:bookmarkStart w:id="144" w:name="Bookmark_I6820TV028T4G60040000400"/>
      <w:bookmarkEnd w:id="144"/>
      <w:hyperlink r:id="rId34" w:history="1">
        <w:r>
          <w:rPr>
            <w:rFonts w:ascii="arial" w:eastAsia="arial" w:hAnsi="arial" w:cs="arial"/>
            <w:b w:val="0"/>
            <w:i/>
            <w:strike w:val="0"/>
            <w:noProof w:val="0"/>
            <w:color w:val="0077CC"/>
            <w:position w:val="0"/>
            <w:sz w:val="18"/>
            <w:u w:val="single"/>
            <w:vertAlign w:val="baseline"/>
          </w:rPr>
          <w:t>Morrison v. United States</w:t>
        </w:r>
      </w:hyperlink>
      <w:hyperlink r:id="rId34" w:history="1">
        <w:r>
          <w:rPr>
            <w:rFonts w:ascii="arial" w:eastAsia="arial" w:hAnsi="arial" w:cs="arial"/>
            <w:b w:val="0"/>
            <w:i/>
            <w:strike w:val="0"/>
            <w:noProof w:val="0"/>
            <w:color w:val="0077CC"/>
            <w:position w:val="0"/>
            <w:sz w:val="18"/>
            <w:u w:val="single"/>
            <w:vertAlign w:val="baseline"/>
          </w:rPr>
          <w:t>, No. MO: 10-CR-00135(1)-RAJ-DC, 2015 U.S. Dist. LEXIS 188244, 2015 WL 12645590, at *24 (W.D. Tex. Apr. 2, 2015)</w:t>
        </w:r>
      </w:hyperlink>
      <w:r>
        <w:rPr>
          <w:rFonts w:ascii="arial" w:eastAsia="arial" w:hAnsi="arial" w:cs="arial"/>
          <w:b w:val="0"/>
          <w:i w:val="0"/>
          <w:strike w:val="0"/>
          <w:noProof w:val="0"/>
          <w:color w:val="000000"/>
          <w:position w:val="0"/>
          <w:sz w:val="18"/>
          <w:u w:val="none"/>
          <w:vertAlign w:val="baseline"/>
        </w:rPr>
        <w:t xml:space="preserve"> (citing </w:t>
      </w:r>
      <w:hyperlink r:id="rId35" w:history="1">
        <w:r>
          <w:rPr>
            <w:rFonts w:ascii="arial" w:eastAsia="arial" w:hAnsi="arial" w:cs="arial"/>
            <w:b w:val="0"/>
            <w:i/>
            <w:strike w:val="0"/>
            <w:noProof w:val="0"/>
            <w:color w:val="0077CC"/>
            <w:position w:val="0"/>
            <w:sz w:val="18"/>
            <w:u w:val="single"/>
            <w:vertAlign w:val="baseline"/>
          </w:rPr>
          <w:t xml:space="preserve">Rule 11, </w:t>
        </w:r>
      </w:hyperlink>
      <w:hyperlink r:id="rId35" w:history="1">
        <w:r>
          <w:rPr>
            <w:rFonts w:ascii="arial" w:eastAsia="arial" w:hAnsi="arial" w:cs="arial"/>
            <w:b w:val="0"/>
            <w:i/>
            <w:strike w:val="0"/>
            <w:noProof w:val="0"/>
            <w:color w:val="0077CC"/>
            <w:position w:val="0"/>
            <w:sz w:val="18"/>
            <w:u w:val="single"/>
            <w:vertAlign w:val="baseline"/>
          </w:rPr>
          <w:t>Rules Governing Section 2255 Proceedings</w:t>
        </w:r>
      </w:hyperlink>
      <w:r>
        <w:rPr>
          <w:rFonts w:ascii="arial" w:eastAsia="arial" w:hAnsi="arial" w:cs="arial"/>
          <w:b w:val="0"/>
          <w:i w:val="0"/>
          <w:strike w:val="0"/>
          <w:noProof w:val="0"/>
          <w:color w:val="000000"/>
          <w:position w:val="0"/>
          <w:sz w:val="18"/>
          <w:u w:val="none"/>
          <w:vertAlign w:val="baseline"/>
        </w:rPr>
        <w:t>).</w:t>
      </w:r>
    </w:p>
  </w:footnote>
  <w:footnote w:id="47">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46 </w:t>
      </w:r>
      <w:bookmarkStart w:id="149" w:name="Bookmark_fnpara_46"/>
      <w:bookmarkEnd w:id="149"/>
      <w:hyperlink r:id="rId33" w:history="1">
        <w:r>
          <w:rPr>
            <w:rFonts w:ascii="arial" w:eastAsia="arial" w:hAnsi="arial" w:cs="arial"/>
            <w:b w:val="0"/>
            <w:i/>
            <w:strike w:val="0"/>
            <w:noProof w:val="0"/>
            <w:color w:val="0077CC"/>
            <w:position w:val="0"/>
            <w:sz w:val="18"/>
            <w:u w:val="single"/>
            <w:vertAlign w:val="baseline"/>
          </w:rPr>
          <w:t>28 U.S.C. § 2253(c)(2)</w:t>
        </w:r>
      </w:hyperlink>
      <w:r>
        <w:rPr>
          <w:rFonts w:ascii="arial" w:eastAsia="arial" w:hAnsi="arial" w:cs="arial"/>
          <w:b w:val="0"/>
          <w:i w:val="0"/>
          <w:strike w:val="0"/>
          <w:noProof w:val="0"/>
          <w:color w:val="000000"/>
          <w:position w:val="0"/>
          <w:sz w:val="18"/>
          <w:u w:val="none"/>
          <w:vertAlign w:val="baseline"/>
        </w:rPr>
        <w:t>.</w:t>
      </w:r>
    </w:p>
  </w:footnote>
  <w:footnote w:id="48">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47 </w:t>
      </w:r>
      <w:bookmarkStart w:id="150" w:name="Bookmark_fnpara_47"/>
      <w:bookmarkEnd w:id="150"/>
      <w:bookmarkStart w:id="151" w:name="Bookmark_I6820TV12D6NC10010000400"/>
      <w:bookmarkEnd w:id="151"/>
      <w:hyperlink r:id="rId36" w:history="1">
        <w:r>
          <w:rPr>
            <w:rFonts w:ascii="arial" w:eastAsia="arial" w:hAnsi="arial" w:cs="arial"/>
            <w:b w:val="0"/>
            <w:i/>
            <w:strike w:val="0"/>
            <w:noProof w:val="0"/>
            <w:color w:val="0077CC"/>
            <w:position w:val="0"/>
            <w:sz w:val="18"/>
            <w:u w:val="single"/>
            <w:vertAlign w:val="baseline"/>
          </w:rPr>
          <w:t>Miller-El v. Cockrell</w:t>
        </w:r>
      </w:hyperlink>
      <w:hyperlink r:id="rId36" w:history="1">
        <w:r>
          <w:rPr>
            <w:rFonts w:ascii="arial" w:eastAsia="arial" w:hAnsi="arial" w:cs="arial"/>
            <w:b w:val="0"/>
            <w:i/>
            <w:strike w:val="0"/>
            <w:noProof w:val="0"/>
            <w:color w:val="0077CC"/>
            <w:position w:val="0"/>
            <w:sz w:val="18"/>
            <w:u w:val="single"/>
            <w:vertAlign w:val="baseline"/>
          </w:rPr>
          <w:t>, 537 U.S. 322, 327, 123 S. Ct. 1029, 154 L. Ed. 2d 931 (2003)</w:t>
        </w:r>
      </w:hyperlink>
      <w:r>
        <w:rPr>
          <w:rFonts w:ascii="arial" w:eastAsia="arial" w:hAnsi="arial" w:cs="arial"/>
          <w:b w:val="0"/>
          <w:i w:val="0"/>
          <w:strike w:val="0"/>
          <w:noProof w:val="0"/>
          <w:color w:val="000000"/>
          <w:position w:val="0"/>
          <w:sz w:val="18"/>
          <w:u w:val="none"/>
          <w:vertAlign w:val="baseline"/>
        </w:rPr>
        <w:t>.</w:t>
      </w:r>
    </w:p>
  </w:footnote>
  <w:footnote w:id="49">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48 </w:t>
      </w:r>
      <w:bookmarkStart w:id="152" w:name="Bookmark_fnpara_48"/>
      <w:bookmarkEnd w:id="152"/>
      <w:bookmarkStart w:id="153" w:name="Bookmark_I6820TV12D6NC10030000400"/>
      <w:bookmarkEnd w:id="153"/>
      <w:hyperlink r:id="rId37" w:history="1">
        <w:r>
          <w:rPr>
            <w:rFonts w:ascii="arial" w:eastAsia="arial" w:hAnsi="arial" w:cs="arial"/>
            <w:b w:val="0"/>
            <w:i/>
            <w:strike w:val="0"/>
            <w:noProof w:val="0"/>
            <w:color w:val="0077CC"/>
            <w:position w:val="0"/>
            <w:sz w:val="18"/>
            <w:u w:val="single"/>
            <w:vertAlign w:val="baseline"/>
          </w:rPr>
          <w:t>United States v. Fields</w:t>
        </w:r>
      </w:hyperlink>
      <w:hyperlink r:id="rId37" w:history="1">
        <w:r>
          <w:rPr>
            <w:rFonts w:ascii="arial" w:eastAsia="arial" w:hAnsi="arial" w:cs="arial"/>
            <w:b w:val="0"/>
            <w:i/>
            <w:strike w:val="0"/>
            <w:noProof w:val="0"/>
            <w:color w:val="0077CC"/>
            <w:position w:val="0"/>
            <w:sz w:val="18"/>
            <w:u w:val="single"/>
            <w:vertAlign w:val="baseline"/>
          </w:rPr>
          <w:t>, 761 F.3d 443, 452 (5th Cir. 2014)</w:t>
        </w:r>
      </w:hyperlink>
      <w:r>
        <w:rPr>
          <w:rFonts w:ascii="arial" w:eastAsia="arial" w:hAnsi="arial" w:cs="arial"/>
          <w:b w:val="0"/>
          <w:i w:val="0"/>
          <w:strike w:val="0"/>
          <w:noProof w:val="0"/>
          <w:color w:val="000000"/>
          <w:position w:val="0"/>
          <w:sz w:val="18"/>
          <w:u w:val="none"/>
          <w:vertAlign w:val="baseline"/>
        </w:rPr>
        <w:t xml:space="preserve"> (internal citation omitted).</w:t>
      </w:r>
    </w:p>
  </w:footnote>
  <w:footnote w:id="50">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49 </w:t>
      </w:r>
      <w:bookmarkStart w:id="154" w:name="Bookmark_fnpara_49"/>
      <w:bookmarkEnd w:id="154"/>
      <w:r>
        <w:rPr>
          <w:rFonts w:ascii="arial" w:eastAsia="arial" w:hAnsi="arial" w:cs="arial"/>
          <w:b w:val="0"/>
          <w:i/>
          <w:strike w:val="0"/>
          <w:noProof w:val="0"/>
          <w:color w:val="000000"/>
          <w:position w:val="0"/>
          <w:sz w:val="18"/>
          <w:u w:val="none"/>
          <w:vertAlign w:val="baseline"/>
        </w:rPr>
        <w:t xml:space="preserve">See </w:t>
      </w:r>
      <w:bookmarkStart w:id="155" w:name="Bookmark_I6820TV12D6NC10050000400"/>
      <w:bookmarkEnd w:id="155"/>
      <w:hyperlink r:id="rId38" w:history="1">
        <w:r>
          <w:rPr>
            <w:rFonts w:ascii="arial" w:eastAsia="arial" w:hAnsi="arial" w:cs="arial"/>
            <w:b w:val="0"/>
            <w:i/>
            <w:strike w:val="0"/>
            <w:noProof w:val="0"/>
            <w:color w:val="0077CC"/>
            <w:position w:val="0"/>
            <w:sz w:val="18"/>
            <w:u w:val="single"/>
            <w:vertAlign w:val="baseline"/>
          </w:rPr>
          <w:t>Alexander v. Johnson</w:t>
        </w:r>
      </w:hyperlink>
      <w:hyperlink r:id="rId38" w:history="1">
        <w:r>
          <w:rPr>
            <w:rFonts w:ascii="arial" w:eastAsia="arial" w:hAnsi="arial" w:cs="arial"/>
            <w:b w:val="0"/>
            <w:i/>
            <w:strike w:val="0"/>
            <w:noProof w:val="0"/>
            <w:color w:val="0077CC"/>
            <w:position w:val="0"/>
            <w:sz w:val="18"/>
            <w:u w:val="single"/>
            <w:vertAlign w:val="baseline"/>
          </w:rPr>
          <w:t>, 211 F.3d 895, 898 (5th Cir. 2000)</w:t>
        </w:r>
      </w:hyperlink>
      <w:r>
        <w:rPr>
          <w:rFonts w:ascii="arial" w:eastAsia="arial" w:hAnsi="arial" w:cs="arial"/>
          <w:b w:val="0"/>
          <w:i w:val="0"/>
          <w:strike w:val="0"/>
          <w:noProof w:val="0"/>
          <w:color w:val="000000"/>
          <w:position w:val="0"/>
          <w:sz w:val="18"/>
          <w:u w:val="none"/>
          <w:vertAlign w:val="baseline"/>
        </w:rPr>
        <w:t>.</w:t>
      </w:r>
    </w:p>
  </w:footnote>
  <w:footnote w:id="51">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50 </w:t>
      </w:r>
      <w:bookmarkStart w:id="158" w:name="Bookmark_fnpara_50"/>
      <w:bookmarkEnd w:id="158"/>
      <w:r>
        <w:rPr>
          <w:rFonts w:ascii="arial" w:eastAsia="arial" w:hAnsi="arial" w:cs="arial"/>
          <w:b w:val="0"/>
          <w:i/>
          <w:strike w:val="0"/>
          <w:noProof w:val="0"/>
          <w:color w:val="000000"/>
          <w:position w:val="0"/>
          <w:sz w:val="18"/>
          <w:u w:val="none"/>
          <w:vertAlign w:val="baseline"/>
        </w:rPr>
        <w:t xml:space="preserve">See </w:t>
      </w:r>
      <w:bookmarkStart w:id="159" w:name="Bookmark_I6820TV12SF82C0020000400"/>
      <w:bookmarkEnd w:id="159"/>
      <w:hyperlink r:id="rId39" w:history="1">
        <w:r>
          <w:rPr>
            <w:rFonts w:ascii="arial" w:eastAsia="arial" w:hAnsi="arial" w:cs="arial"/>
            <w:b w:val="0"/>
            <w:i/>
            <w:strike w:val="0"/>
            <w:noProof w:val="0"/>
            <w:color w:val="0077CC"/>
            <w:position w:val="0"/>
            <w:sz w:val="18"/>
            <w:u w:val="single"/>
            <w:vertAlign w:val="baseline"/>
          </w:rPr>
          <w:t>Villegas v. United States</w:t>
        </w:r>
      </w:hyperlink>
      <w:hyperlink r:id="rId39" w:history="1">
        <w:r>
          <w:rPr>
            <w:rFonts w:ascii="arial" w:eastAsia="arial" w:hAnsi="arial" w:cs="arial"/>
            <w:b w:val="0"/>
            <w:i/>
            <w:strike w:val="0"/>
            <w:noProof w:val="0"/>
            <w:color w:val="0077CC"/>
            <w:position w:val="0"/>
            <w:sz w:val="18"/>
            <w:u w:val="single"/>
            <w:vertAlign w:val="baseline"/>
          </w:rPr>
          <w:t xml:space="preserve">, Nos. M-16-213, </w:t>
        </w:r>
      </w:hyperlink>
      <w:hyperlink r:id="rId39" w:history="1">
        <w:r>
          <w:rPr>
            <w:rFonts w:ascii="arial" w:eastAsia="arial" w:hAnsi="arial" w:cs="arial"/>
            <w:b w:val="0"/>
            <w:i/>
            <w:strike w:val="0"/>
            <w:noProof w:val="0"/>
            <w:color w:val="0077CC"/>
            <w:position w:val="0"/>
            <w:sz w:val="18"/>
            <w:u w:val="single"/>
            <w:vertAlign w:val="baseline"/>
          </w:rPr>
          <w:t>   </w:t>
        </w:r>
      </w:hyperlink>
      <w:hyperlink r:id="rId39" w:history="1">
        <w:r>
          <w:rPr>
            <w:rFonts w:ascii="arial" w:eastAsia="arial" w:hAnsi="arial" w:cs="arial"/>
            <w:b w:val="0"/>
            <w:i/>
            <w:strike w:val="0"/>
            <w:noProof w:val="0"/>
            <w:color w:val="0077CC"/>
            <w:position w:val="0"/>
            <w:sz w:val="18"/>
            <w:u w:val="single"/>
            <w:vertAlign w:val="baseline"/>
          </w:rPr>
          <w:t xml:space="preserve"> F. Supp. 3d </w:t>
        </w:r>
      </w:hyperlink>
      <w:hyperlink r:id="rId39" w:history="1">
        <w:r>
          <w:rPr>
            <w:rFonts w:ascii="arial" w:eastAsia="arial" w:hAnsi="arial" w:cs="arial"/>
            <w:b w:val="0"/>
            <w:i/>
            <w:strike w:val="0"/>
            <w:noProof w:val="0"/>
            <w:color w:val="0077CC"/>
            <w:position w:val="0"/>
            <w:sz w:val="18"/>
            <w:u w:val="single"/>
            <w:vertAlign w:val="baseline"/>
          </w:rPr>
          <w:t>   </w:t>
        </w:r>
      </w:hyperlink>
      <w:hyperlink r:id="rId39" w:history="1">
        <w:r>
          <w:rPr>
            <w:rFonts w:ascii="arial" w:eastAsia="arial" w:hAnsi="arial" w:cs="arial"/>
            <w:b w:val="0"/>
            <w:i/>
            <w:strike w:val="0"/>
            <w:noProof w:val="0"/>
            <w:color w:val="0077CC"/>
            <w:position w:val="0"/>
            <w:sz w:val="18"/>
            <w:u w:val="single"/>
            <w:vertAlign w:val="baseline"/>
          </w:rPr>
          <w:t xml:space="preserve"> , 2019 U.S. Dist. LEXIS 73429, 2019 WL 1930026, at *5-6 (S.D. Tex. Apr. 3, 2019)</w:t>
        </w:r>
      </w:hyperlink>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report and recommendation adopted</w:t>
      </w:r>
      <w:r>
        <w:rPr>
          <w:rFonts w:ascii="arial" w:eastAsia="arial" w:hAnsi="arial" w:cs="arial"/>
          <w:b w:val="0"/>
          <w:i w:val="0"/>
          <w:strike w:val="0"/>
          <w:noProof w:val="0"/>
          <w:color w:val="000000"/>
          <w:position w:val="0"/>
          <w:sz w:val="18"/>
          <w:u w:val="none"/>
          <w:vertAlign w:val="baseline"/>
        </w:rPr>
        <w:t xml:space="preserve">, </w:t>
      </w:r>
      <w:bookmarkStart w:id="160" w:name="Bookmark_I6820TV12SF82C0040000400"/>
      <w:bookmarkEnd w:id="160"/>
      <w:hyperlink r:id="rId40" w:history="1">
        <w:r>
          <w:rPr>
            <w:rFonts w:ascii="arial" w:eastAsia="arial" w:hAnsi="arial" w:cs="arial"/>
            <w:b w:val="0"/>
            <w:i/>
            <w:strike w:val="0"/>
            <w:noProof w:val="0"/>
            <w:color w:val="0077CC"/>
            <w:position w:val="0"/>
            <w:sz w:val="18"/>
            <w:u w:val="single"/>
            <w:vertAlign w:val="baseline"/>
          </w:rPr>
          <w:t>Nos. M-16-213, M-06-1089-3, 2019 U.S. Dist. LEXIS 72403, 2019 WL 1930290 (S.D. Tex. Apr. 30, 2019)</w:t>
        </w:r>
      </w:hyperlink>
      <w:r>
        <w:rPr>
          <w:rFonts w:ascii="arial" w:eastAsia="arial" w:hAnsi="arial" w:cs="arial"/>
          <w:b w:val="0"/>
          <w:i w:val="0"/>
          <w:strike w:val="0"/>
          <w:noProof w:val="0"/>
          <w:color w:val="000000"/>
          <w:position w:val="0"/>
          <w:sz w:val="18"/>
          <w:u w:val="none"/>
          <w:vertAlign w:val="baseline"/>
        </w:rPr>
        <w:t>.</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States v. Shirey, 2023 U.S. Dist. LEXIS 65587</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statutes-legislation&amp;id=urn:contentItem:8SG9-5HW2-D6RV-H0VJ-00000-00&amp;context=1519360" TargetMode="External" /><Relationship Id="rId11" Type="http://schemas.openxmlformats.org/officeDocument/2006/relationships/hyperlink" Target="https://advance.lexis.com/api/document?collection=statutes-legislation&amp;id=urn:contentItem:8T9R-T4F2-D6RV-H37N-00000-00&amp;context=1519360" TargetMode="External" /><Relationship Id="rId12" Type="http://schemas.openxmlformats.org/officeDocument/2006/relationships/hyperlink" Target="https://advance.lexis.com/api/document?collection=cases&amp;id=urn:contentItem:3S4X-3FN0-003B-S3TN-00000-00&amp;context=1519360" TargetMode="External" /><Relationship Id="rId13" Type="http://schemas.openxmlformats.org/officeDocument/2006/relationships/hyperlink" Target="https://advance.lexis.com/api/document?collection=statutes-legislation&amp;id=urn:contentItem:5GYC-2C71-FG36-13FM-00000-00&amp;context=1519360" TargetMode="External" /><Relationship Id="rId14" Type="http://schemas.openxmlformats.org/officeDocument/2006/relationships/hyperlink" Target="https://advance.lexis.com/api/document?collection=statutes-legislation&amp;id=urn:contentItem:5GYC-2421-6N19-F169-00000-00&amp;context=1519360" TargetMode="External" /><Relationship Id="rId15" Type="http://schemas.openxmlformats.org/officeDocument/2006/relationships/theme" Target="theme/theme1.xml" /><Relationship Id="rId16"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814-52W1-JFKM-607J-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statutes-legislation&amp;id=urn:contentItem:8SG9-5HW2-D6RV-H0VJ-00000-00&amp;context=1519360" TargetMode="External" /><Relationship Id="rId10" Type="http://schemas.openxmlformats.org/officeDocument/2006/relationships/hyperlink" Target="https://advance.lexis.com/api/document?collection=cases&amp;id=urn:contentItem:4JCV-4XT0-0038-X0F2-00000-00&amp;context=1519360" TargetMode="External" /><Relationship Id="rId11" Type="http://schemas.openxmlformats.org/officeDocument/2006/relationships/hyperlink" Target="https://advance.lexis.com/api/document?collection=cases&amp;id=urn:contentItem:5TYJ-G491-JSXV-G3GX-00000-00&amp;context=1519360" TargetMode="External" /><Relationship Id="rId12" Type="http://schemas.openxmlformats.org/officeDocument/2006/relationships/hyperlink" Target="https://advance.lexis.com/api/document?collection=cases&amp;id=urn:contentItem:3S4W-WJW0-0039-M03G-00000-00&amp;context=1519360" TargetMode="External" /><Relationship Id="rId13" Type="http://schemas.openxmlformats.org/officeDocument/2006/relationships/hyperlink" Target="https://advance.lexis.com/api/document?collection=cases&amp;id=urn:contentItem:633C-4XD1-JSRM-6033-00000-00&amp;context=1519360" TargetMode="External" /><Relationship Id="rId14" Type="http://schemas.openxmlformats.org/officeDocument/2006/relationships/hyperlink" Target="https://advance.lexis.com/api/document?collection=cases&amp;id=urn:contentItem:5WVN-15H1-JTNR-M02M-00000-00&amp;context=1519360" TargetMode="External" /><Relationship Id="rId15" Type="http://schemas.openxmlformats.org/officeDocument/2006/relationships/hyperlink" Target="https://advance.lexis.com/api/document?collection=cases&amp;id=urn:contentItem:5WVG-BPG1-F27X-62K8-00000-00&amp;context=1519360" TargetMode="External" /><Relationship Id="rId16" Type="http://schemas.openxmlformats.org/officeDocument/2006/relationships/hyperlink" Target="https://advance.lexis.com/api/document?collection=cases&amp;id=urn:contentItem:63SS-HC41-FGRY-B4N4-00000-00&amp;context=1519360" TargetMode="External" /><Relationship Id="rId17" Type="http://schemas.openxmlformats.org/officeDocument/2006/relationships/hyperlink" Target="https://advance.lexis.com/api/document?collection=cases&amp;id=urn:contentItem:3S4X-3FN0-003B-S3TN-00000-00&amp;context=1519360" TargetMode="External" /><Relationship Id="rId18" Type="http://schemas.openxmlformats.org/officeDocument/2006/relationships/hyperlink" Target="https://advance.lexis.com/api/document?collection=cases&amp;id=urn:contentItem:63GY-YCB1-JTNR-M07C-00000-00&amp;context=1519360" TargetMode="External" /><Relationship Id="rId19" Type="http://schemas.openxmlformats.org/officeDocument/2006/relationships/hyperlink" Target="https://advance.lexis.com/api/document?collection=cases&amp;id=urn:contentItem:5VHM-JDY1-JJYN-B24V-00000-00&amp;context=1519360" TargetMode="External" /><Relationship Id="rId2" Type="http://schemas.openxmlformats.org/officeDocument/2006/relationships/hyperlink" Target="https://advance.lexis.com/api/document?collection=cases&amp;id=urn:contentItem:67FT-0V31-FBFS-S0CM-00000-00&amp;context=1519360" TargetMode="External" /><Relationship Id="rId20" Type="http://schemas.openxmlformats.org/officeDocument/2006/relationships/hyperlink" Target="https://advance.lexis.com/api/document?collection=cases&amp;id=urn:contentItem:5NVP-91B1-F04K-F1WH-00000-00&amp;context=1519360" TargetMode="External" /><Relationship Id="rId21" Type="http://schemas.openxmlformats.org/officeDocument/2006/relationships/hyperlink" Target="https://advance.lexis.com/api/document?collection=cases&amp;id=urn:contentItem:5C08-MTG1-F04F-C038-00000-00&amp;context=1519360" TargetMode="External" /><Relationship Id="rId22" Type="http://schemas.openxmlformats.org/officeDocument/2006/relationships/hyperlink" Target="https://advance.lexis.com/api/document?collection=cases&amp;id=urn:contentItem:5RPW-1RP1-JXG3-X30G-00000-00&amp;context=1519360" TargetMode="External" /><Relationship Id="rId23" Type="http://schemas.openxmlformats.org/officeDocument/2006/relationships/hyperlink" Target="https://advance.lexis.com/api/document?collection=cases&amp;id=urn:contentItem:5N62-JHR1-F04K-N0NG-00000-00&amp;context=1519360" TargetMode="External" /><Relationship Id="rId24" Type="http://schemas.openxmlformats.org/officeDocument/2006/relationships/hyperlink" Target="https://advance.lexis.com/api/document?collection=cases&amp;id=urn:contentItem:5207-4RS1-F04K-F12M-00000-00&amp;context=1519360" TargetMode="External" /><Relationship Id="rId25" Type="http://schemas.openxmlformats.org/officeDocument/2006/relationships/hyperlink" Target="https://advance.lexis.com/api/document?collection=cases&amp;id=urn:contentItem:56BN-DY61-F04K-N0S1-00000-00&amp;context=1519360" TargetMode="External" /><Relationship Id="rId26" Type="http://schemas.openxmlformats.org/officeDocument/2006/relationships/hyperlink" Target="https://advance.lexis.com/api/document?collection=cases&amp;id=urn:contentItem:64R7-T381-JN6B-S3YG-00000-00&amp;context=1519360" TargetMode="External" /><Relationship Id="rId27" Type="http://schemas.openxmlformats.org/officeDocument/2006/relationships/hyperlink" Target="https://advance.lexis.com/api/document?collection=cases&amp;id=urn:contentItem:5WVX-K3F1-JBT7-X07N-00000-00&amp;context=1519360" TargetMode="External" /><Relationship Id="rId28" Type="http://schemas.openxmlformats.org/officeDocument/2006/relationships/hyperlink" Target="https://advance.lexis.com/api/document?collection=cases&amp;id=urn:contentItem:5MC1-MSH1-F04K-N0BN-00000-00&amp;context=1519360" TargetMode="External" /><Relationship Id="rId29" Type="http://schemas.openxmlformats.org/officeDocument/2006/relationships/hyperlink" Target="https://advance.lexis.com/api/document?collection=cases&amp;id=urn:contentItem:5NGX-HV11-F04F-C1JS-00000-00&amp;context=1519360" TargetMode="External" /><Relationship Id="rId3" Type="http://schemas.openxmlformats.org/officeDocument/2006/relationships/hyperlink" Target="https://advance.lexis.com/api/document?collection=cases&amp;id=urn:contentItem:3S4X-2DX0-006F-M2SK-00000-00&amp;context=1519360" TargetMode="External" /><Relationship Id="rId30" Type="http://schemas.openxmlformats.org/officeDocument/2006/relationships/hyperlink" Target="https://advance.lexis.com/api/document?collection=cases&amp;id=urn:contentItem:3Y13-8D30-0038-X2WV-00000-00&amp;context=1519360" TargetMode="External" /><Relationship Id="rId31" Type="http://schemas.openxmlformats.org/officeDocument/2006/relationships/hyperlink" Target="https://advance.lexis.com/api/document?collection=statutes-legislation&amp;id=urn:contentItem:8TWM-B3H2-8T6X-7295-00000-00&amp;context=1519360" TargetMode="External" /><Relationship Id="rId32" Type="http://schemas.openxmlformats.org/officeDocument/2006/relationships/hyperlink" Target="https://advance.lexis.com/api/document?collection=cases&amp;id=urn:contentItem:494S-XRD0-0038-X25G-00000-00&amp;context=1519360" TargetMode="External" /><Relationship Id="rId33" Type="http://schemas.openxmlformats.org/officeDocument/2006/relationships/hyperlink" Target="https://advance.lexis.com/api/document?collection=statutes-legislation&amp;id=urn:contentItem:8SG9-5HW2-D6RV-H0VG-00000-00&amp;context=1519360" TargetMode="External" /><Relationship Id="rId34" Type="http://schemas.openxmlformats.org/officeDocument/2006/relationships/hyperlink" Target="https://advance.lexis.com/api/document?collection=cases&amp;id=urn:contentItem:5NGX-HV11-F04F-C1JR-00000-00&amp;context=1519360" TargetMode="External" /><Relationship Id="rId35" Type="http://schemas.openxmlformats.org/officeDocument/2006/relationships/hyperlink" Target="https://advance.lexis.com/api/document?collection=statutes-legislation&amp;id=urn:contentItem:5GYC-2C71-FG36-13FM-00000-00&amp;context=1519360" TargetMode="External" /><Relationship Id="rId36" Type="http://schemas.openxmlformats.org/officeDocument/2006/relationships/hyperlink" Target="https://advance.lexis.com/api/document?collection=cases&amp;id=urn:contentItem:4810-8DH0-004B-Y01G-00000-00&amp;context=1519360" TargetMode="External" /><Relationship Id="rId37" Type="http://schemas.openxmlformats.org/officeDocument/2006/relationships/hyperlink" Target="https://advance.lexis.com/api/document?collection=cases&amp;id=urn:contentItem:5CT0-W6V1-F04K-N1RD-00000-00&amp;context=1519360" TargetMode="External" /><Relationship Id="rId38" Type="http://schemas.openxmlformats.org/officeDocument/2006/relationships/hyperlink" Target="https://advance.lexis.com/api/document?collection=cases&amp;id=urn:contentItem:407G-6N90-0038-X2W2-00000-00&amp;context=1519360" TargetMode="External" /><Relationship Id="rId39" Type="http://schemas.openxmlformats.org/officeDocument/2006/relationships/hyperlink" Target="https://advance.lexis.com/api/document?collection=cases&amp;id=urn:contentItem:5W14-0MR1-FGRY-B001-00000-00&amp;context=1519360" TargetMode="External" /><Relationship Id="rId4" Type="http://schemas.openxmlformats.org/officeDocument/2006/relationships/hyperlink" Target="https://advance.lexis.com/api/document?collection=cases&amp;id=urn:contentItem:3S4X-6JG0-003B-P22X-00000-00&amp;context=1519360" TargetMode="External" /><Relationship Id="rId40" Type="http://schemas.openxmlformats.org/officeDocument/2006/relationships/hyperlink" Target="https://advance.lexis.com/api/document?collection=cases&amp;id=urn:contentItem:5W0W-RSJ1-JX8W-M004-00000-00&amp;context=1519360" TargetMode="External" /><Relationship Id="rId5" Type="http://schemas.openxmlformats.org/officeDocument/2006/relationships/hyperlink" Target="https://advance.lexis.com/api/document?collection=cases&amp;id=urn:contentItem:5VTB-VY11-F361-M190-00000-00&amp;context=1519360" TargetMode="External" /><Relationship Id="rId6" Type="http://schemas.openxmlformats.org/officeDocument/2006/relationships/hyperlink" Target="https://advance.lexis.com/api/document?collection=cases&amp;id=urn:contentItem:3S4X-8440-003B-S1D6-00000-00&amp;context=1519360" TargetMode="External" /><Relationship Id="rId7" Type="http://schemas.openxmlformats.org/officeDocument/2006/relationships/hyperlink" Target="https://advance.lexis.com/api/document?collection=cases&amp;id=urn:contentItem:5VRM-B951-FBN1-24SB-00000-00&amp;context=1519360" TargetMode="External" /><Relationship Id="rId8" Type="http://schemas.openxmlformats.org/officeDocument/2006/relationships/hyperlink" Target="https://advance.lexis.com/api/document?collection=statutes-legislation&amp;id=urn:contentItem:5GYC-2C71-FG36-13FD-00000-00&amp;context=1519360" TargetMode="External" /><Relationship Id="rId9" Type="http://schemas.openxmlformats.org/officeDocument/2006/relationships/hyperlink" Target="https://advance.lexis.com/api/document?collection=cases&amp;id=urn:contentItem:63C4-SWJ1-JT42-S47D-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v. Shirey, 2023 U.S. Dist. LEXIS 65587</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86</vt:lpwstr>
  </property>
  <property fmtid="{D5CDD505-2E9C-101B-9397-08002B2CF9AE}" pid="3" name="LADocCount">
    <vt:lpwstr>1</vt:lpwstr>
  </property>
  <property fmtid="{D5CDD505-2E9C-101B-9397-08002B2CF9AE}" pid="4" name="LADocumentID:86">
    <vt:lpwstr>Doc::urn:hlct:5|contextualFeaturePermID::1519360</vt:lpwstr>
  </property>
  <property fmtid="{D5CDD505-2E9C-101B-9397-08002B2CF9AE}" pid="5" name="UserPermID">
    <vt:lpwstr>urn:user:PA186186280</vt:lpwstr>
  </property>
</Properties>
</file>