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Hernandez v. Garland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Ninth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2023</w:t>
      </w:r>
      <w:r>
        <w:rPr>
          <w:rFonts w:ascii="arial" w:eastAsia="arial" w:hAnsi="arial" w:cs="arial"/>
          <w:vertAlign w:val="superscript"/>
        </w:rPr>
        <w:footnoteReference w:customMarkFollows="1" w:id="2"/>
        <w:t xml:space="preserve">**</w:t>
      </w:r>
      <w:r>
        <w:rPr>
          <w:rFonts w:ascii="arial" w:eastAsia="arial" w:hAnsi="arial" w:cs="arial"/>
          <w:b w:val="0"/>
          <w:i w:val="0"/>
          <w:strike w:val="0"/>
          <w:noProof w:val="0"/>
          <w:color w:val="000000"/>
          <w:position w:val="0"/>
          <w:sz w:val="20"/>
          <w:u w:val="none"/>
          <w:vertAlign w:val="baseline"/>
        </w:rPr>
        <w:t>, Submitted, San Francisco, California; October 18,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22-340</w:t>
      </w:r>
    </w:p>
    <w:p>
      <w:pPr>
        <w:keepNext w:val="0"/>
        <w:spacing w:after="0" w:line="240" w:lineRule="atLeast"/>
        <w:ind w:right="0"/>
        <w:jc w:val="both"/>
      </w:pPr>
      <w:bookmarkStart w:id="1" w:name="Bookmark_59"/>
      <w:bookmarkEnd w:id="1"/>
    </w:p>
    <w:p>
      <w:pPr>
        <w:keepNext w:val="0"/>
        <w:spacing w:before="200" w:after="0" w:line="240" w:lineRule="atLeast"/>
        <w:ind w:left="0" w:right="0" w:firstLine="0"/>
        <w:jc w:val="left"/>
      </w:pPr>
      <w:bookmarkStart w:id="2" w:name="Reporter"/>
      <w:bookmarkEnd w:id="2"/>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27957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6872068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EDER BAUTISTA HERNANDEZ, Petitioner, v. MERRICK B. GARLAND, Attorney General, Respondent.</w:t>
      </w:r>
    </w:p>
    <w:p>
      <w:pPr>
        <w:keepNext w:val="0"/>
        <w:spacing w:before="240" w:after="0" w:line="260" w:lineRule="atLeast"/>
        <w:ind w:left="0" w:right="0" w:firstLine="0"/>
        <w:jc w:val="both"/>
      </w:pPr>
      <w:bookmarkStart w:id="3" w:name="Notice"/>
      <w:bookmarkEnd w:id="3"/>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4" w:name="Bookmark_para_1"/>
      <w:bookmarkEnd w:id="4"/>
      <w:r>
        <w:rPr>
          <w:rFonts w:ascii="arial" w:eastAsia="arial" w:hAnsi="arial" w:cs="arial"/>
          <w:b w:val="0"/>
          <w:i w:val="0"/>
          <w:strike w:val="0"/>
          <w:noProof w:val="0"/>
          <w:color w:val="000000"/>
          <w:position w:val="0"/>
          <w:sz w:val="20"/>
          <w:u w:val="none"/>
          <w:vertAlign w:val="baseline"/>
        </w:rPr>
        <w:t xml:space="preserve">PLEASE REFER TO </w:t>
      </w:r>
      <w:r>
        <w:rPr>
          <w:rFonts w:ascii="arial" w:eastAsia="arial" w:hAnsi="arial" w:cs="arial"/>
          <w:b w:val="0"/>
          <w:i/>
          <w:strike w:val="0"/>
          <w:noProof w:val="0"/>
          <w:color w:val="000000"/>
          <w:position w:val="0"/>
          <w:sz w:val="20"/>
          <w:u w:val="none"/>
          <w:vertAlign w:val="baseline"/>
        </w:rPr>
        <w:t>FEDERAL RULES OF APPELLATE PROCEDURE RULE 32.1</w:t>
      </w:r>
      <w:r>
        <w:rPr>
          <w:rFonts w:ascii="arial" w:eastAsia="arial" w:hAnsi="arial" w:cs="arial"/>
          <w:b w:val="0"/>
          <w:i w:val="0"/>
          <w:strike w:val="0"/>
          <w:noProof w:val="0"/>
          <w:color w:val="000000"/>
          <w:position w:val="0"/>
          <w:sz w:val="20"/>
          <w:u w:val="none"/>
          <w:vertAlign w:val="baseline"/>
        </w:rPr>
        <w:t xml:space="preserve"> GOVERNING THE CITATION TO UNPUBLISHED OPINIONS.</w:t>
      </w:r>
    </w:p>
    <w:p>
      <w:pPr>
        <w:keepNext w:val="0"/>
        <w:spacing w:before="240" w:after="0" w:line="260" w:lineRule="atLeast"/>
        <w:ind w:left="0" w:right="0" w:firstLine="0"/>
        <w:jc w:val="both"/>
      </w:pPr>
      <w:bookmarkStart w:id="5" w:name="Prior History"/>
      <w:bookmarkEnd w:id="5"/>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6" w:name="Bookmark_para_2"/>
      <w:bookmarkEnd w:id="6"/>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On Petition for Review of an Order of the Board of Immigration Appeals. Agency No. A214-093-842.</w:t>
      </w:r>
    </w:p>
    <w:p>
      <w:pPr>
        <w:keepNext w:val="0"/>
        <w:spacing w:before="240" w:after="0" w:line="260" w:lineRule="atLeast"/>
        <w:ind w:left="0" w:right="0" w:firstLine="0"/>
        <w:jc w:val="both"/>
      </w:pPr>
      <w:bookmarkStart w:id="7" w:name="Disposition"/>
      <w:bookmarkEnd w:id="7"/>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8" w:name="Bookmark_clspara_1"/>
      <w:bookmarkEnd w:id="8"/>
      <w:r>
        <w:rPr>
          <w:rFonts w:ascii="arial" w:eastAsia="arial" w:hAnsi="arial" w:cs="arial"/>
          <w:b w:val="0"/>
          <w:i w:val="0"/>
          <w:strike w:val="0"/>
          <w:noProof w:val="0"/>
          <w:color w:val="000000"/>
          <w:position w:val="0"/>
          <w:sz w:val="20"/>
          <w:u w:val="none"/>
          <w:vertAlign w:val="baseline"/>
        </w:rPr>
        <w:t>PETITION DENIED.</w:t>
      </w:r>
    </w:p>
    <w:p>
      <w:pPr>
        <w:keepNext/>
        <w:spacing w:before="240" w:after="0" w:line="340" w:lineRule="atLeast"/>
        <w:ind w:left="0" w:right="0" w:firstLine="0"/>
        <w:jc w:val="left"/>
      </w:pPr>
      <w:bookmarkStart w:id="9" w:name="Core Terms"/>
      <w:bookmarkEnd w:id="9"/>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proceedings, due process right, motion for continuance, petition for review, motion to suppress, no evidence, Immigration, declaration, regulation, affirming, detaining, detention, egregious, coercion, violates,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arrest</w:t>
      </w:r>
    </w:p>
    <w:p>
      <w:pPr>
        <w:keepNext w:val="0"/>
        <w:spacing w:before="240" w:after="0" w:line="260" w:lineRule="atLeast"/>
        <w:ind w:left="0" w:right="0" w:firstLine="0"/>
        <w:jc w:val="left"/>
      </w:pPr>
      <w:bookmarkStart w:id="10" w:name="Judges"/>
      <w:bookmarkEnd w:id="10"/>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SILER, NGUYEN, and R. NELSON, Circuit Judges.</w:t>
      </w:r>
      <w:r>
        <w:rPr>
          <w:rFonts w:ascii="arial" w:eastAsia="arial" w:hAnsi="arial" w:cs="arial"/>
          <w:vertAlign w:val="superscript"/>
        </w:rPr>
        <w:footnoteReference w:customMarkFollows="1" w:id="3"/>
        <w:t xml:space="preserve">***</w:t>
      </w:r>
      <w:r>
        <w:rPr>
          <w:rFonts w:ascii="arial" w:eastAsia="arial" w:hAnsi="arial" w:cs="arial"/>
          <w:b w:val="0"/>
          <w:i w:val="0"/>
          <w:strike w:val="0"/>
          <w:noProof w:val="0"/>
          <w:color w:val="000000"/>
          <w:position w:val="0"/>
          <w:sz w:val="20"/>
          <w:u w:val="none"/>
          <w:vertAlign w:val="baseline"/>
        </w:rPr>
        <w:t>.</w:t>
      </w:r>
    </w:p>
    <w:p>
      <w:pPr>
        <w:keepNext/>
        <w:spacing w:before="240" w:after="0" w:line="340" w:lineRule="atLeast"/>
        <w:ind w:left="0" w:right="0" w:firstLine="0"/>
        <w:jc w:val="left"/>
      </w:pPr>
      <w:bookmarkStart w:id="12" w:name="Opinion"/>
      <w:bookmarkEnd w:id="12"/>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MEMORANDUM</w:t>
      </w:r>
      <w:r>
        <w:rPr>
          <w:rFonts w:ascii="arial" w:eastAsia="arial" w:hAnsi="arial" w:cs="arial"/>
          <w:vertAlign w:val="superscript"/>
        </w:rPr>
        <w:footnoteReference w:customMarkFollows="1" w:id="4"/>
        <w:t xml:space="preserve">*</w:t>
      </w:r>
    </w:p>
    <w:p>
      <w:pPr>
        <w:keepNext w:val="0"/>
        <w:spacing w:before="240" w:after="0" w:line="260" w:lineRule="atLeast"/>
        <w:ind w:left="0" w:right="0" w:firstLine="0"/>
        <w:jc w:val="both"/>
      </w:pPr>
      <w:bookmarkStart w:id="14" w:name="Bookmark_para_3"/>
      <w:bookmarkEnd w:id="14"/>
      <w:bookmarkStart w:id="15" w:name="Bookmark_I69G3B792SF8470020000400"/>
      <w:bookmarkEnd w:id="15"/>
      <w:r>
        <w:rPr>
          <w:rFonts w:ascii="arial" w:eastAsia="arial" w:hAnsi="arial" w:cs="arial"/>
          <w:b w:val="0"/>
          <w:i w:val="0"/>
          <w:strike w:val="0"/>
          <w:noProof w:val="0"/>
          <w:color w:val="000000"/>
          <w:position w:val="0"/>
          <w:sz w:val="20"/>
          <w:u w:val="none"/>
          <w:vertAlign w:val="baseline"/>
        </w:rPr>
        <w:t xml:space="preserve">Eder Bautista Hernandez, a native and citizen of Mexico, petitions for review of a decision by the Board of Immigration Appeals ("BIA") affirming the immigration judge's ("IJ") denial of his motion to suppress and motion for a continuance, and affirming his corresponding order of removal. We have jurisdiction under </w:t>
      </w:r>
      <w:hyperlink r:id="rId10" w:history="1">
        <w:r>
          <w:rPr>
            <w:rFonts w:ascii="arial" w:eastAsia="arial" w:hAnsi="arial" w:cs="arial"/>
            <w:b w:val="0"/>
            <w:i/>
            <w:strike w:val="0"/>
            <w:noProof w:val="0"/>
            <w:color w:val="0077CC"/>
            <w:position w:val="0"/>
            <w:sz w:val="20"/>
            <w:u w:val="single"/>
            <w:vertAlign w:val="baseline"/>
          </w:rPr>
          <w:t>8 U.S.C. § 1252</w:t>
        </w:r>
      </w:hyperlink>
      <w:r>
        <w:rPr>
          <w:rFonts w:ascii="arial" w:eastAsia="arial" w:hAnsi="arial" w:cs="arial"/>
          <w:b w:val="0"/>
          <w:i w:val="0"/>
          <w:strike w:val="0"/>
          <w:noProof w:val="0"/>
          <w:color w:val="000000"/>
          <w:position w:val="0"/>
          <w:sz w:val="20"/>
          <w:u w:val="none"/>
          <w:vertAlign w:val="baseline"/>
        </w:rPr>
        <w:t xml:space="preserve">. Reviewing the agency's factual findings for substantial evidence and its legal conclusions de novo, </w:t>
      </w:r>
      <w:r>
        <w:rPr>
          <w:rFonts w:ascii="arial" w:eastAsia="arial" w:hAnsi="arial" w:cs="arial"/>
          <w:b w:val="0"/>
          <w:i/>
          <w:strike w:val="0"/>
          <w:noProof w:val="0"/>
          <w:color w:val="000000"/>
          <w:position w:val="0"/>
          <w:sz w:val="20"/>
          <w:u w:val="none"/>
          <w:vertAlign w:val="baseline"/>
        </w:rPr>
        <w:t xml:space="preserve">see </w:t>
      </w:r>
      <w:bookmarkStart w:id="16" w:name="Bookmark_I69G3B792SF8470010000400"/>
      <w:bookmarkEnd w:id="16"/>
      <w:hyperlink r:id="rId11" w:history="1">
        <w:r>
          <w:rPr>
            <w:rFonts w:ascii="arial" w:eastAsia="arial" w:hAnsi="arial" w:cs="arial"/>
            <w:b w:val="0"/>
            <w:i/>
            <w:strike w:val="0"/>
            <w:noProof w:val="0"/>
            <w:color w:val="0077CC"/>
            <w:position w:val="0"/>
            <w:sz w:val="20"/>
            <w:u w:val="single"/>
            <w:vertAlign w:val="baseline"/>
          </w:rPr>
          <w:t>Flores Molina v. Garland</w:t>
        </w:r>
      </w:hyperlink>
      <w:hyperlink r:id="rId11" w:history="1">
        <w:r>
          <w:rPr>
            <w:rFonts w:ascii="arial" w:eastAsia="arial" w:hAnsi="arial" w:cs="arial"/>
            <w:b w:val="0"/>
            <w:i/>
            <w:strike w:val="0"/>
            <w:noProof w:val="0"/>
            <w:color w:val="0077CC"/>
            <w:position w:val="0"/>
            <w:sz w:val="20"/>
            <w:u w:val="single"/>
            <w:vertAlign w:val="baseline"/>
          </w:rPr>
          <w:t>, 37 F.4th 626, 632 (9th Cir. 2022)</w:t>
        </w:r>
      </w:hyperlink>
      <w:r>
        <w:rPr>
          <w:rFonts w:ascii="arial" w:eastAsia="arial" w:hAnsi="arial" w:cs="arial"/>
          <w:b w:val="0"/>
          <w:i w:val="0"/>
          <w:strike w:val="0"/>
          <w:noProof w:val="0"/>
          <w:color w:val="000000"/>
          <w:position w:val="0"/>
          <w:sz w:val="20"/>
          <w:u w:val="none"/>
          <w:vertAlign w:val="baseline"/>
        </w:rPr>
        <w:t>, we deny the petition for review.</w:t>
      </w:r>
    </w:p>
    <w:p>
      <w:pPr>
        <w:keepNext w:val="0"/>
        <w:spacing w:before="240" w:after="0" w:line="260" w:lineRule="atLeast"/>
        <w:ind w:left="0" w:right="0" w:firstLine="0"/>
        <w:jc w:val="both"/>
      </w:pPr>
      <w:bookmarkStart w:id="17" w:name="Bookmark_para_4"/>
      <w:bookmarkEnd w:id="17"/>
      <w:r>
        <w:rPr>
          <w:rFonts w:ascii="arial" w:eastAsia="arial" w:hAnsi="arial" w:cs="arial"/>
          <w:b w:val="0"/>
          <w:i w:val="0"/>
          <w:strike w:val="0"/>
          <w:noProof w:val="0"/>
          <w:color w:val="000000"/>
          <w:position w:val="0"/>
          <w:sz w:val="20"/>
          <w:u w:val="none"/>
          <w:vertAlign w:val="baseline"/>
        </w:rPr>
        <w:t xml:space="preserve">1. </w:t>
      </w:r>
      <w:bookmarkStart w:id="18" w:name="Bookmark_I69G3B792SF8470040000400"/>
      <w:bookmarkEnd w:id="18"/>
      <w:r>
        <w:rPr>
          <w:rFonts w:ascii="arial" w:eastAsia="arial" w:hAnsi="arial" w:cs="arial"/>
          <w:b w:val="0"/>
          <w:i w:val="0"/>
          <w:strike w:val="0"/>
          <w:noProof w:val="0"/>
          <w:color w:val="000000"/>
          <w:position w:val="0"/>
          <w:sz w:val="20"/>
          <w:u w:val="none"/>
          <w:vertAlign w:val="baseline"/>
        </w:rPr>
        <w:t xml:space="preserve">The agency did not err in denying Bautista Hernandez's motion to suppress Forms I-213 and I-877 and to terminate proceedings. The exclusionary rule generally does not apply to removal proceedings, except (1) when the agency violates a regulation promulgated for the benefit of petitioners and the violation prejudices the petitioner's protected interests or (2) when the agency egregiously violates a petitioner's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w:t>
      </w:r>
      <w:bookmarkStart w:id="19" w:name="Bookmark_I69G3B792SF8470030000400"/>
      <w:bookmarkEnd w:id="19"/>
      <w:hyperlink r:id="rId13" w:history="1">
        <w:r>
          <w:rPr>
            <w:rFonts w:ascii="arial" w:eastAsia="arial" w:hAnsi="arial" w:cs="arial"/>
            <w:b w:val="0"/>
            <w:i/>
            <w:strike w:val="0"/>
            <w:noProof w:val="0"/>
            <w:color w:val="0077CC"/>
            <w:position w:val="0"/>
            <w:sz w:val="20"/>
            <w:u w:val="single"/>
            <w:vertAlign w:val="baseline"/>
          </w:rPr>
          <w:t>Sanchez v. Sessions</w:t>
        </w:r>
      </w:hyperlink>
      <w:hyperlink r:id="rId13" w:history="1">
        <w:r>
          <w:rPr>
            <w:rFonts w:ascii="arial" w:eastAsia="arial" w:hAnsi="arial" w:cs="arial"/>
            <w:b w:val="0"/>
            <w:i/>
            <w:strike w:val="0"/>
            <w:noProof w:val="0"/>
            <w:color w:val="0077CC"/>
            <w:position w:val="0"/>
            <w:sz w:val="20"/>
            <w:u w:val="single"/>
            <w:vertAlign w:val="baseline"/>
          </w:rPr>
          <w:t>, 904 F.3d 643, 649 (9th Cir. 2018)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0" w:name="Bookmark_para_5"/>
      <w:bookmarkEnd w:id="20"/>
      <w:r>
        <w:rPr>
          <w:rFonts w:ascii="arial" w:eastAsia="arial" w:hAnsi="arial" w:cs="arial"/>
          <w:b w:val="0"/>
          <w:i w:val="0"/>
          <w:strike w:val="0"/>
          <w:noProof w:val="0"/>
          <w:color w:val="000000"/>
          <w:position w:val="0"/>
          <w:sz w:val="20"/>
          <w:u w:val="none"/>
          <w:vertAlign w:val="baseline"/>
        </w:rPr>
        <w:t>Bautista Hernandez has not shown a regulatory violation. Bautista Hernandez contends that CBP violated § 287.8(b)(2) by detaining him well beyond the "brief"</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detention permitted under the regulation. But § 287.8(b)(2) pertains to interrogations and detention not amounting to arrest. CBP officers clearly arrested Bautista Hernandez as soon as he attempted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his friend's daughter across the border.</w:t>
      </w:r>
    </w:p>
    <w:p>
      <w:pPr>
        <w:keepNext w:val="0"/>
        <w:spacing w:before="240" w:after="0" w:line="260" w:lineRule="atLeast"/>
        <w:ind w:left="0" w:right="0" w:firstLine="0"/>
        <w:jc w:val="both"/>
      </w:pPr>
      <w:bookmarkStart w:id="21" w:name="Bookmark_para_6"/>
      <w:bookmarkEnd w:id="21"/>
      <w:r>
        <w:rPr>
          <w:rFonts w:ascii="arial" w:eastAsia="arial" w:hAnsi="arial" w:cs="arial"/>
          <w:b w:val="0"/>
          <w:i w:val="0"/>
          <w:strike w:val="0"/>
          <w:noProof w:val="0"/>
          <w:color w:val="000000"/>
          <w:position w:val="0"/>
          <w:sz w:val="20"/>
          <w:u w:val="none"/>
          <w:vertAlign w:val="baseline"/>
        </w:rPr>
        <w:t xml:space="preserve">Bautista Hernandez did not offer evidence demonstrating that the information in Form I-213 was obtained through an egregious violation of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bookmarkStart w:id="22" w:name="Bookmark_I69G3B7B2HM6P70010000400"/>
      <w:bookmarkEnd w:id="22"/>
      <w:r>
        <w:rPr>
          <w:rFonts w:ascii="arial" w:eastAsia="arial" w:hAnsi="arial" w:cs="arial"/>
          <w:b w:val="0"/>
          <w:i/>
          <w:strike w:val="0"/>
          <w:noProof w:val="0"/>
          <w:color w:val="000000"/>
          <w:position w:val="0"/>
          <w:sz w:val="20"/>
          <w:u w:val="none"/>
          <w:vertAlign w:val="baseline"/>
        </w:rPr>
        <w:t xml:space="preserve">See </w:t>
      </w:r>
      <w:hyperlink r:id="rId14" w:history="1">
        <w:r>
          <w:rPr>
            <w:rFonts w:ascii="arial" w:eastAsia="arial" w:hAnsi="arial" w:cs="arial"/>
            <w:b w:val="0"/>
            <w:i/>
            <w:strike w:val="0"/>
            <w:noProof w:val="0"/>
            <w:color w:val="0077CC"/>
            <w:position w:val="0"/>
            <w:sz w:val="20"/>
            <w:u w:val="single"/>
            <w:vertAlign w:val="baseline"/>
          </w:rPr>
          <w:t>In re Barcenas</w:t>
        </w:r>
      </w:hyperlink>
      <w:hyperlink r:id="rId14" w:history="1">
        <w:r>
          <w:rPr>
            <w:rFonts w:ascii="arial" w:eastAsia="arial" w:hAnsi="arial" w:cs="arial"/>
            <w:b w:val="0"/>
            <w:i/>
            <w:strike w:val="0"/>
            <w:noProof w:val="0"/>
            <w:color w:val="0077CC"/>
            <w:position w:val="0"/>
            <w:sz w:val="20"/>
            <w:u w:val="single"/>
            <w:vertAlign w:val="baseline"/>
          </w:rPr>
          <w:t>, 19 I. &amp; N. Dec. 609, 611 (B.I.A. 1988)</w:t>
        </w:r>
      </w:hyperlink>
      <w:r>
        <w:rPr>
          <w:rFonts w:ascii="arial" w:eastAsia="arial" w:hAnsi="arial" w:cs="arial"/>
          <w:b w:val="0"/>
          <w:i w:val="0"/>
          <w:strike w:val="0"/>
          <w:noProof w:val="0"/>
          <w:color w:val="000000"/>
          <w:position w:val="0"/>
          <w:sz w:val="20"/>
          <w:u w:val="none"/>
          <w:vertAlign w:val="baseline"/>
        </w:rPr>
        <w:t xml:space="preserve"> (holding that the petitioner bears the initial burden to "come forward with proof establishing a prima facie case" of a constitutional violation that would require suppression of evidence). The mere fact that CBP officers interviewed Bautista Hernandez more than 24 hours after first detaining him cannot, without some further evidence of coercion, establish that his will was overborne. </w:t>
      </w:r>
      <w:bookmarkStart w:id="23" w:name="Bookmark_I69G3B7B2HM6P70030000400"/>
      <w:bookmarkEnd w:id="23"/>
      <w:r>
        <w:rPr>
          <w:rFonts w:ascii="arial" w:eastAsia="arial" w:hAnsi="arial" w:cs="arial"/>
          <w:b w:val="0"/>
          <w:i/>
          <w:strike w:val="0"/>
          <w:noProof w:val="0"/>
          <w:color w:val="000000"/>
          <w:position w:val="0"/>
          <w:sz w:val="20"/>
          <w:u w:val="none"/>
          <w:vertAlign w:val="baseline"/>
        </w:rPr>
        <w:t xml:space="preserve">See </w:t>
      </w:r>
      <w:bookmarkStart w:id="24" w:name="Bookmark_I69G3B792SF8470050000400"/>
      <w:bookmarkEnd w:id="24"/>
      <w:hyperlink r:id="rId15" w:history="1">
        <w:r>
          <w:rPr>
            <w:rFonts w:ascii="arial" w:eastAsia="arial" w:hAnsi="arial" w:cs="arial"/>
            <w:b w:val="0"/>
            <w:i/>
            <w:strike w:val="0"/>
            <w:noProof w:val="0"/>
            <w:color w:val="0077CC"/>
            <w:position w:val="0"/>
            <w:sz w:val="20"/>
            <w:u w:val="single"/>
            <w:vertAlign w:val="baseline"/>
          </w:rPr>
          <w:t>Schneckloth v. Bustamonte</w:t>
        </w:r>
      </w:hyperlink>
      <w:hyperlink r:id="rId15" w:history="1">
        <w:r>
          <w:rPr>
            <w:rFonts w:ascii="arial" w:eastAsia="arial" w:hAnsi="arial" w:cs="arial"/>
            <w:b w:val="0"/>
            <w:i/>
            <w:strike w:val="0"/>
            <w:noProof w:val="0"/>
            <w:color w:val="0077CC"/>
            <w:position w:val="0"/>
            <w:sz w:val="20"/>
            <w:u w:val="single"/>
            <w:vertAlign w:val="baseline"/>
          </w:rPr>
          <w:t>, 412 U.S. 218, 225-26, 93 S. Ct. 2041, 36 L. Ed. 2d 854 (1973)</w:t>
        </w:r>
      </w:hyperlink>
      <w:r>
        <w:rPr>
          <w:rFonts w:ascii="arial" w:eastAsia="arial" w:hAnsi="arial" w:cs="arial"/>
          <w:b w:val="0"/>
          <w:i w:val="0"/>
          <w:strike w:val="0"/>
          <w:noProof w:val="0"/>
          <w:color w:val="000000"/>
          <w:position w:val="0"/>
          <w:sz w:val="20"/>
          <w:u w:val="none"/>
          <w:vertAlign w:val="baseline"/>
        </w:rPr>
        <w:t xml:space="preserve">. </w:t>
      </w:r>
      <w:bookmarkStart w:id="25" w:name="Bookmark_I69G3B7B2HM6P70030000400_2"/>
      <w:bookmarkEnd w:id="25"/>
      <w:r>
        <w:rPr>
          <w:rFonts w:ascii="arial" w:eastAsia="arial" w:hAnsi="arial" w:cs="arial"/>
          <w:b w:val="0"/>
          <w:i w:val="0"/>
          <w:strike w:val="0"/>
          <w:noProof w:val="0"/>
          <w:color w:val="000000"/>
          <w:position w:val="0"/>
          <w:sz w:val="20"/>
          <w:u w:val="none"/>
          <w:vertAlign w:val="baseline"/>
        </w:rPr>
        <w:t xml:space="preserve">Nor does the single typographical error in the I-213 render the form inherently unreliable. </w:t>
      </w:r>
      <w:r>
        <w:rPr>
          <w:rFonts w:ascii="arial" w:eastAsia="arial" w:hAnsi="arial" w:cs="arial"/>
          <w:b w:val="0"/>
          <w:i/>
          <w:strike w:val="0"/>
          <w:noProof w:val="0"/>
          <w:color w:val="000000"/>
          <w:position w:val="0"/>
          <w:sz w:val="20"/>
          <w:u w:val="none"/>
          <w:vertAlign w:val="baseline"/>
        </w:rPr>
        <w:t xml:space="preserve">See </w:t>
      </w:r>
      <w:bookmarkStart w:id="26" w:name="Bookmark_I69G3B7B2HM6P70020000400"/>
      <w:bookmarkEnd w:id="26"/>
      <w:hyperlink r:id="rId16" w:history="1">
        <w:r>
          <w:rPr>
            <w:rFonts w:ascii="arial" w:eastAsia="arial" w:hAnsi="arial" w:cs="arial"/>
            <w:b w:val="0"/>
            <w:i/>
            <w:strike w:val="0"/>
            <w:noProof w:val="0"/>
            <w:color w:val="0077CC"/>
            <w:position w:val="0"/>
            <w:sz w:val="20"/>
            <w:u w:val="single"/>
            <w:vertAlign w:val="baseline"/>
          </w:rPr>
          <w:t>Espinoza v. INS</w:t>
        </w:r>
      </w:hyperlink>
      <w:hyperlink r:id="rId16" w:history="1">
        <w:r>
          <w:rPr>
            <w:rFonts w:ascii="arial" w:eastAsia="arial" w:hAnsi="arial" w:cs="arial"/>
            <w:b w:val="0"/>
            <w:i/>
            <w:strike w:val="0"/>
            <w:noProof w:val="0"/>
            <w:color w:val="0077CC"/>
            <w:position w:val="0"/>
            <w:sz w:val="20"/>
            <w:u w:val="single"/>
            <w:vertAlign w:val="baseline"/>
          </w:rPr>
          <w:t>, 45 F.3d 308, 310 (9th Cir. 1995)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7" w:name="Bookmark_para_7"/>
      <w:bookmarkEnd w:id="27"/>
      <w:bookmarkStart w:id="28" w:name="Bookmark_I69G3B7B2HM6P70050000400"/>
      <w:bookmarkEnd w:id="28"/>
      <w:r>
        <w:rPr>
          <w:rFonts w:ascii="arial" w:eastAsia="arial" w:hAnsi="arial" w:cs="arial"/>
          <w:b w:val="0"/>
          <w:i w:val="0"/>
          <w:strike w:val="0"/>
          <w:noProof w:val="0"/>
          <w:color w:val="000000"/>
          <w:position w:val="0"/>
          <w:sz w:val="20"/>
          <w:u w:val="none"/>
          <w:vertAlign w:val="baseline"/>
        </w:rPr>
        <w:t xml:space="preserve">2. The agency did not violate Bautista Hernandez's due process rights during the administrative proceedings. </w:t>
      </w:r>
      <w:bookmarkStart w:id="29" w:name="Bookmark_I69G3B7B2HM6PC0020000400"/>
      <w:bookmarkEnd w:id="29"/>
      <w:r>
        <w:rPr>
          <w:rFonts w:ascii="arial" w:eastAsia="arial" w:hAnsi="arial" w:cs="arial"/>
          <w:b w:val="0"/>
          <w:i w:val="0"/>
          <w:strike w:val="0"/>
          <w:noProof w:val="0"/>
          <w:color w:val="000000"/>
          <w:position w:val="0"/>
          <w:sz w:val="20"/>
          <w:u w:val="none"/>
          <w:vertAlign w:val="baseline"/>
        </w:rPr>
        <w:t xml:space="preserve">The agency properly treated Bautista Hernandez as an applicant for admission rather than a returning Legal Permanent Resident because he engaged in an unlawful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scheme after departing the United States.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8 U.S.C. § 1101(a)(13)(C)(iii)</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30" w:name="Bookmark_I69G3B7B2HM6P70040000400"/>
      <w:bookmarkEnd w:id="30"/>
      <w:r>
        <w:rPr>
          <w:rFonts w:ascii="arial" w:eastAsia="arial" w:hAnsi="arial" w:cs="arial"/>
          <w:b w:val="0"/>
          <w:i/>
          <w:strike w:val="0"/>
          <w:noProof w:val="0"/>
          <w:color w:val="000000"/>
          <w:position w:val="0"/>
          <w:sz w:val="20"/>
          <w:u w:val="none"/>
          <w:vertAlign w:val="baseline"/>
        </w:rPr>
        <w:t>Gonzaga-Ortega v. Holder</w:t>
      </w:r>
      <w:r>
        <w:rPr>
          <w:rFonts w:ascii="arial" w:eastAsia="arial" w:hAnsi="arial" w:cs="arial"/>
          <w:b w:val="0"/>
          <w:i/>
          <w:strike w:val="0"/>
          <w:noProof w:val="0"/>
          <w:color w:val="000000"/>
          <w:position w:val="0"/>
          <w:sz w:val="20"/>
          <w:u w:val="none"/>
          <w:vertAlign w:val="baseline"/>
        </w:rPr>
        <w:t>, 736 F.3d 795, 801 (9th Cir. 2013)</w:t>
      </w:r>
      <w:r>
        <w:rPr>
          <w:rFonts w:ascii="arial" w:eastAsia="arial" w:hAnsi="arial" w:cs="arial"/>
          <w:b w:val="0"/>
          <w:i w:val="0"/>
          <w:strike w:val="0"/>
          <w:noProof w:val="0"/>
          <w:color w:val="000000"/>
          <w:position w:val="0"/>
          <w:sz w:val="20"/>
          <w:u w:val="none"/>
          <w:vertAlign w:val="baseline"/>
        </w:rPr>
        <w:t xml:space="preserve">. </w:t>
      </w:r>
      <w:bookmarkStart w:id="31" w:name="Bookmark_I69G3B7B2HM6PC0020000400_2"/>
      <w:bookmarkEnd w:id="31"/>
      <w:r>
        <w:rPr>
          <w:rFonts w:ascii="arial" w:eastAsia="arial" w:hAnsi="arial" w:cs="arial"/>
          <w:b w:val="0"/>
          <w:i w:val="0"/>
          <w:strike w:val="0"/>
          <w:noProof w:val="0"/>
          <w:color w:val="000000"/>
          <w:position w:val="0"/>
          <w:sz w:val="20"/>
          <w:u w:val="none"/>
          <w:vertAlign w:val="baseline"/>
        </w:rPr>
        <w:t xml:space="preserve">The IJ did not violate Bautista Hernandez's due process rights by admitting the I-213 and I-877 into evidence where the forms were probative, their admission was fundamentally fair, and Bautista Hernandez did not show that the form contained information that was inaccurate or obtained by coercion. </w:t>
      </w:r>
      <w:bookmarkStart w:id="32" w:name="Bookmark_I69G3B7B2HM6PC0010000400"/>
      <w:bookmarkEnd w:id="32"/>
      <w:hyperlink r:id="rId18" w:history="1">
        <w:r>
          <w:rPr>
            <w:rFonts w:ascii="arial" w:eastAsia="arial" w:hAnsi="arial" w:cs="arial"/>
            <w:b w:val="0"/>
            <w:i/>
            <w:strike w:val="0"/>
            <w:noProof w:val="0"/>
            <w:color w:val="0077CC"/>
            <w:position w:val="0"/>
            <w:sz w:val="20"/>
            <w:u w:val="single"/>
            <w:vertAlign w:val="baseline"/>
          </w:rPr>
          <w:t>Sanchez v. Holder</w:t>
        </w:r>
      </w:hyperlink>
      <w:hyperlink r:id="rId18" w:history="1">
        <w:r>
          <w:rPr>
            <w:rFonts w:ascii="arial" w:eastAsia="arial" w:hAnsi="arial" w:cs="arial"/>
            <w:b w:val="0"/>
            <w:i/>
            <w:strike w:val="0"/>
            <w:noProof w:val="0"/>
            <w:color w:val="0077CC"/>
            <w:position w:val="0"/>
            <w:sz w:val="20"/>
            <w:u w:val="single"/>
            <w:vertAlign w:val="baseline"/>
          </w:rPr>
          <w:t>, 704 F.3d 1107, 1109 (9th Cir. 2012)</w:t>
        </w:r>
      </w:hyperlink>
      <w:r>
        <w:rPr>
          <w:rFonts w:ascii="arial" w:eastAsia="arial" w:hAnsi="arial" w:cs="arial"/>
          <w:b w:val="0"/>
          <w:i w:val="0"/>
          <w:strike w:val="0"/>
          <w:noProof w:val="0"/>
          <w:color w:val="000000"/>
          <w:position w:val="0"/>
          <w:sz w:val="20"/>
          <w:u w:val="none"/>
          <w:vertAlign w:val="baseline"/>
        </w:rPr>
        <w:t xml:space="preserve">. Moreover, Bautista Hernandez had the opportunity to rebut the contents of the I-213 and I-877 by filing his own declaration or any other evidence that could undermine the forms. </w:t>
      </w:r>
      <w:bookmarkStart w:id="33" w:name="Bookmark_I69G3B7B2HM6PC0040000400"/>
      <w:bookmarkEnd w:id="33"/>
      <w:r>
        <w:rPr>
          <w:rFonts w:ascii="arial" w:eastAsia="arial" w:hAnsi="arial" w:cs="arial"/>
          <w:b w:val="0"/>
          <w:i w:val="0"/>
          <w:strike w:val="0"/>
          <w:noProof w:val="0"/>
          <w:color w:val="000000"/>
          <w:position w:val="0"/>
          <w:sz w:val="20"/>
          <w:u w:val="none"/>
          <w:vertAlign w:val="baseline"/>
        </w:rPr>
        <w:t xml:space="preserve">He submitted no evidence. And because Bautista Hernandez produced no evidence contradicting anything material in the forms, he had no right to confront the officers who prepared the forms at a hearing. </w:t>
      </w:r>
      <w:r>
        <w:rPr>
          <w:rFonts w:ascii="arial" w:eastAsia="arial" w:hAnsi="arial" w:cs="arial"/>
          <w:b w:val="0"/>
          <w:i/>
          <w:strike w:val="0"/>
          <w:noProof w:val="0"/>
          <w:color w:val="000000"/>
          <w:position w:val="0"/>
          <w:sz w:val="20"/>
          <w:u w:val="none"/>
          <w:vertAlign w:val="baseline"/>
        </w:rPr>
        <w:t xml:space="preserve">See </w:t>
      </w:r>
      <w:bookmarkStart w:id="34" w:name="Bookmark_I69G3B7B2HM6PC0030000400"/>
      <w:bookmarkEnd w:id="34"/>
      <w:hyperlink r:id="rId16" w:history="1">
        <w:r>
          <w:rPr>
            <w:rFonts w:ascii="arial" w:eastAsia="arial" w:hAnsi="arial" w:cs="arial"/>
            <w:b w:val="0"/>
            <w:i/>
            <w:strike w:val="0"/>
            <w:noProof w:val="0"/>
            <w:color w:val="0077CC"/>
            <w:position w:val="0"/>
            <w:sz w:val="20"/>
            <w:u w:val="single"/>
            <w:vertAlign w:val="baseline"/>
          </w:rPr>
          <w:t>Espinoza</w:t>
        </w:r>
      </w:hyperlink>
      <w:hyperlink r:id="rId16" w:history="1">
        <w:r>
          <w:rPr>
            <w:rFonts w:ascii="arial" w:eastAsia="arial" w:hAnsi="arial" w:cs="arial"/>
            <w:b w:val="0"/>
            <w:i/>
            <w:strike w:val="0"/>
            <w:noProof w:val="0"/>
            <w:color w:val="0077CC"/>
            <w:position w:val="0"/>
            <w:sz w:val="20"/>
            <w:u w:val="single"/>
            <w:vertAlign w:val="baseline"/>
          </w:rPr>
          <w:t>, 45 F.3d at 311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5" w:name="Bookmark_para_8"/>
      <w:bookmarkEnd w:id="35"/>
      <w:bookmarkStart w:id="36" w:name="Bookmark_I69G3B7B28T3W60010000400"/>
      <w:bookmarkEnd w:id="36"/>
      <w:r>
        <w:rPr>
          <w:rFonts w:ascii="arial" w:eastAsia="arial" w:hAnsi="arial" w:cs="arial"/>
          <w:b w:val="0"/>
          <w:i w:val="0"/>
          <w:strike w:val="0"/>
          <w:noProof w:val="0"/>
          <w:color w:val="000000"/>
          <w:position w:val="0"/>
          <w:sz w:val="20"/>
          <w:u w:val="none"/>
          <w:vertAlign w:val="baseline"/>
        </w:rPr>
        <w:t xml:space="preserve">Finally, the agency did not violate Bautista Hernandez's due process rights when it denied his motion for a continuance because Bautista Hernandez failed to show prejudice. Bautista Hernandez's counsel never articulated how the information in his A-File would differ from the information recorded by officers in the I-213 and I-877, nor why she could not simply rely on a declaration from Bautista Hernandez himself to establish his recollection of the relevant events. </w:t>
      </w:r>
      <w:bookmarkStart w:id="37" w:name="Bookmark_I69G3B7B2HM6PC0050000400"/>
      <w:bookmarkEnd w:id="37"/>
      <w:hyperlink r:id="rId19" w:history="1">
        <w:r>
          <w:rPr>
            <w:rFonts w:ascii="arial" w:eastAsia="arial" w:hAnsi="arial" w:cs="arial"/>
            <w:b w:val="0"/>
            <w:i/>
            <w:strike w:val="0"/>
            <w:noProof w:val="0"/>
            <w:color w:val="0077CC"/>
            <w:position w:val="0"/>
            <w:sz w:val="20"/>
            <w:u w:val="single"/>
            <w:vertAlign w:val="baseline"/>
          </w:rPr>
          <w:t>Rendon v. Holder</w:t>
        </w:r>
      </w:hyperlink>
      <w:hyperlink r:id="rId19" w:history="1">
        <w:r>
          <w:rPr>
            <w:rFonts w:ascii="arial" w:eastAsia="arial" w:hAnsi="arial" w:cs="arial"/>
            <w:b w:val="0"/>
            <w:i/>
            <w:strike w:val="0"/>
            <w:noProof w:val="0"/>
            <w:color w:val="0077CC"/>
            <w:position w:val="0"/>
            <w:sz w:val="20"/>
            <w:u w:val="single"/>
            <w:vertAlign w:val="baseline"/>
          </w:rPr>
          <w:t>, 588 F.3d 669, 675 (2009)</w:t>
        </w:r>
      </w:hyperlink>
      <w:r>
        <w:rPr>
          <w:rFonts w:ascii="arial" w:eastAsia="arial" w:hAnsi="arial" w:cs="arial"/>
          <w:b w:val="0"/>
          <w:i w:val="0"/>
          <w:strike w:val="0"/>
          <w:noProof w:val="0"/>
          <w:color w:val="000000"/>
          <w:position w:val="0"/>
          <w:sz w:val="20"/>
          <w:u w:val="none"/>
          <w:vertAlign w:val="baseline"/>
        </w:rPr>
        <w:t xml:space="preserve"> ("[Prejudice] means that the outcome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of the proceedings may have been affected by the alleged violation.").</w:t>
      </w:r>
    </w:p>
    <w:p>
      <w:pPr>
        <w:keepNext w:val="0"/>
        <w:spacing w:before="200" w:after="0" w:line="260" w:lineRule="atLeast"/>
        <w:ind w:left="0" w:right="0" w:firstLine="0"/>
        <w:jc w:val="both"/>
      </w:pPr>
      <w:bookmarkStart w:id="38" w:name="Bookmark_para_9"/>
      <w:bookmarkEnd w:id="38"/>
      <w:r>
        <w:rPr>
          <w:rFonts w:ascii="arial" w:eastAsia="arial" w:hAnsi="arial" w:cs="arial"/>
          <w:b/>
          <w:i w:val="0"/>
          <w:strike w:val="0"/>
          <w:noProof w:val="0"/>
          <w:color w:val="000000"/>
          <w:position w:val="0"/>
          <w:sz w:val="20"/>
          <w:u w:val="none"/>
          <w:vertAlign w:val="baseline"/>
        </w:rPr>
        <w:t>PETITION DENIED</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0" w:name="Bookmark_fnpara_1"/>
      <w:bookmarkEnd w:id="0"/>
      <w:r>
        <w:rPr>
          <w:rFonts w:ascii="arial" w:eastAsia="arial" w:hAnsi="arial" w:cs="arial"/>
          <w:b w:val="0"/>
          <w:i w:val="0"/>
          <w:strike w:val="0"/>
          <w:noProof w:val="0"/>
          <w:color w:val="000000"/>
          <w:position w:val="0"/>
          <w:sz w:val="18"/>
          <w:u w:val="none"/>
          <w:vertAlign w:val="baseline"/>
        </w:rPr>
        <w:t>The panel unanimously concludes this case is suitable for decision without oral argument. See Fed. R. App. P. 34(a)(2).</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11" w:name="Bookmark_fnpara_2"/>
      <w:bookmarkEnd w:id="11"/>
      <w:r>
        <w:rPr>
          <w:rFonts w:ascii="arial" w:eastAsia="arial" w:hAnsi="arial" w:cs="arial"/>
          <w:b w:val="0"/>
          <w:i w:val="0"/>
          <w:strike w:val="0"/>
          <w:noProof w:val="0"/>
          <w:color w:val="000000"/>
          <w:position w:val="0"/>
          <w:sz w:val="18"/>
          <w:u w:val="none"/>
          <w:vertAlign w:val="baseline"/>
        </w:rPr>
        <w:t>The Honorable Eugene E. Siler, United States Circuit Judge for the Court of Appeals, 6th Circuit, sitting by designation.</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13" w:name="Bookmark_fnpara_3"/>
      <w:bookmarkEnd w:id="13"/>
      <w:r>
        <w:rPr>
          <w:rFonts w:ascii="arial" w:eastAsia="arial" w:hAnsi="arial" w:cs="arial"/>
          <w:b w:val="0"/>
          <w:i w:val="0"/>
          <w:strike w:val="0"/>
          <w:noProof w:val="0"/>
          <w:color w:val="000000"/>
          <w:position w:val="0"/>
          <w:sz w:val="18"/>
          <w:u w:val="none"/>
          <w:vertAlign w:val="baseline"/>
        </w:rPr>
        <w:t xml:space="preserve">This disposition is not appropriate for publication and is not precedent except as provided by </w:t>
      </w:r>
      <w:hyperlink r:id="rId1" w:history="1">
        <w:r>
          <w:rPr>
            <w:rFonts w:ascii="arial" w:eastAsia="arial" w:hAnsi="arial" w:cs="arial"/>
            <w:b w:val="0"/>
            <w:i/>
            <w:strike w:val="0"/>
            <w:noProof w:val="0"/>
            <w:color w:val="0077CC"/>
            <w:position w:val="0"/>
            <w:sz w:val="18"/>
            <w:u w:val="single"/>
            <w:vertAlign w:val="baseline"/>
          </w:rPr>
          <w:t>Ninth Circuit Rule 36-3</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Hernandez v. Garland, 2023 U.S. App. LEXIS 27957</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6M-T0S2-D6RV-H48H-00000-00&amp;context=1519360" TargetMode="External" /><Relationship Id="rId11" Type="http://schemas.openxmlformats.org/officeDocument/2006/relationships/hyperlink" Target="https://advance.lexis.com/api/document?collection=cases&amp;id=urn:contentItem:65NY-YFS1-JG59-217G-00000-00&amp;context=1519360" TargetMode="External" /><Relationship Id="rId12" Type="http://schemas.openxmlformats.org/officeDocument/2006/relationships/hyperlink" Target="https://advance.lexis.com/api/document?collection=statutes-legislation&amp;id=urn:contentItem:8T9R-T3H2-D6RV-H37G-00000-00&amp;context=1519360" TargetMode="External" /><Relationship Id="rId13" Type="http://schemas.openxmlformats.org/officeDocument/2006/relationships/hyperlink" Target="https://advance.lexis.com/api/document?collection=cases&amp;id=urn:contentItem:5T99-K2B1-JG02-S00D-00000-00&amp;context=1519360" TargetMode="External" /><Relationship Id="rId14" Type="http://schemas.openxmlformats.org/officeDocument/2006/relationships/hyperlink" Target="https://advance.lexis.com/api/document?collection=administrative-materials&amp;id=urn:contentItem:3SGP-JP30-0039-B0B7-00000-00&amp;context=1519360" TargetMode="External" /><Relationship Id="rId15" Type="http://schemas.openxmlformats.org/officeDocument/2006/relationships/hyperlink" Target="https://advance.lexis.com/api/document?collection=cases&amp;id=urn:contentItem:3S4X-CV70-003B-S2J4-00000-00&amp;context=1519360" TargetMode="External" /><Relationship Id="rId16" Type="http://schemas.openxmlformats.org/officeDocument/2006/relationships/hyperlink" Target="https://advance.lexis.com/api/document?collection=cases&amp;id=urn:contentItem:3S4X-H840-001T-D4M6-00000-00&amp;context=1519360" TargetMode="External" /><Relationship Id="rId17" Type="http://schemas.openxmlformats.org/officeDocument/2006/relationships/hyperlink" Target="https://advance.lexis.com/api/document?collection=statutes-legislation&amp;id=urn:contentItem:67TN-3M73-GXF6-837V-00000-00&amp;context=1519360" TargetMode="External" /><Relationship Id="rId18" Type="http://schemas.openxmlformats.org/officeDocument/2006/relationships/hyperlink" Target="https://advance.lexis.com/api/document?collection=cases&amp;id=urn:contentItem:57C0-RF91-F04K-V2J2-00000-00&amp;context=1519360" TargetMode="External" /><Relationship Id="rId19" Type="http://schemas.openxmlformats.org/officeDocument/2006/relationships/hyperlink" Target="https://advance.lexis.com/api/document?collection=cases&amp;id=urn:contentItem:7X76-9P20-YB0V-P07X-00000-00&amp;context=1519360" TargetMode="External" /><Relationship Id="rId2" Type="http://schemas.openxmlformats.org/officeDocument/2006/relationships/settings" Target="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DW-SRK1-K0BB-S500-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KYR-5452-D6RV-H4P6-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Hernandez v. Garland, 2023 U.S. App. LEXIS 27957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59</vt:lpwstr>
  </property>
  <property fmtid="{D5CDD505-2E9C-101B-9397-08002B2CF9AE}" pid="3" name="LADocCount">
    <vt:lpwstr>1</vt:lpwstr>
  </property>
  <property fmtid="{D5CDD505-2E9C-101B-9397-08002B2CF9AE}" pid="4" name="LADocumentID:59">
    <vt:lpwstr>Doc::urn:hlct:5|contextualFeaturePermID::1519360</vt:lpwstr>
  </property>
  <property fmtid="{D5CDD505-2E9C-101B-9397-08002B2CF9AE}" pid="5" name="UserPermID">
    <vt:lpwstr>urn:user:PA186186283</vt:lpwstr>
  </property>
</Properties>
</file>